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A26B5" w14:textId="79FB5EC6" w:rsidR="00DB162F" w:rsidRDefault="00F355F3" w:rsidP="00104B67">
      <w:pPr>
        <w:tabs>
          <w:tab w:val="left" w:pos="5355"/>
        </w:tabs>
        <w:spacing w:before="0"/>
        <w:rPr>
          <w:b/>
          <w:lang w:val="en-US"/>
        </w:rPr>
      </w:pPr>
      <w:r>
        <w:rPr>
          <w:rFonts w:ascii="Georgia" w:hAnsi="Georgia"/>
          <w:b/>
          <w:color w:val="0000FF"/>
          <w:sz w:val="24"/>
          <w:lang w:val="en-US"/>
        </w:rPr>
        <w:pict w14:anchorId="594226F9">
          <v:rect id="_x0000_s1026" style="position:absolute;left:0;text-align:left;margin-left:105.55pt;margin-top:-49.75pt;width:373.95pt;height:42pt;z-index:251658240;mso-position-horizontal-relative:text;mso-position-vertical-relative:text" fillcolor="white [3201]" strokecolor="blue" strokeweight="5pt">
            <v:stroke linestyle="thickThin"/>
            <v:shadow color="#868686"/>
            <v:textbox style="mso-next-textbox:#_x0000_s1026">
              <w:txbxContent>
                <w:p w14:paraId="1F887EE6" w14:textId="77777777" w:rsidR="00CF6070" w:rsidRPr="00E90071" w:rsidRDefault="00CF6070" w:rsidP="00131C42">
                  <w:pPr>
                    <w:spacing w:before="0"/>
                    <w:rPr>
                      <w:rFonts w:ascii="Georgia" w:hAnsi="Georgia"/>
                      <w:b/>
                      <w:color w:val="0000FF"/>
                      <w:sz w:val="24"/>
                      <w:szCs w:val="26"/>
                    </w:rPr>
                  </w:pPr>
                  <w:r w:rsidRPr="00E90071">
                    <w:rPr>
                      <w:rFonts w:ascii="Georgia" w:hAnsi="Georgia"/>
                      <w:b/>
                      <w:color w:val="0000FF"/>
                      <w:sz w:val="24"/>
                      <w:szCs w:val="26"/>
                    </w:rPr>
                    <w:t xml:space="preserve">JOURNAL OF </w:t>
                  </w:r>
                  <w:r w:rsidR="003318BA" w:rsidRPr="00E90071">
                    <w:rPr>
                      <w:rFonts w:ascii="Georgia" w:hAnsi="Georgia"/>
                      <w:b/>
                      <w:color w:val="0000FF"/>
                      <w:sz w:val="24"/>
                      <w:szCs w:val="26"/>
                    </w:rPr>
                    <w:t xml:space="preserve">EPIDEMIOLOGY AND PUBLIC </w:t>
                  </w:r>
                  <w:r w:rsidRPr="00E90071">
                    <w:rPr>
                      <w:rFonts w:ascii="Georgia" w:hAnsi="Georgia"/>
                      <w:b/>
                      <w:color w:val="0000FF"/>
                      <w:sz w:val="24"/>
                      <w:szCs w:val="26"/>
                    </w:rPr>
                    <w:t>HEALTH</w:t>
                  </w:r>
                  <w:r w:rsidR="001E169A" w:rsidRPr="00E90071">
                    <w:rPr>
                      <w:rFonts w:ascii="Georgia" w:hAnsi="Georgia"/>
                      <w:b/>
                      <w:color w:val="0000FF"/>
                      <w:sz w:val="24"/>
                      <w:szCs w:val="26"/>
                    </w:rPr>
                    <w:t xml:space="preserve"> </w:t>
                  </w:r>
                </w:p>
                <w:p w14:paraId="52790C87" w14:textId="77777777" w:rsidR="00CF6070" w:rsidRPr="00E90071" w:rsidRDefault="00CF6070" w:rsidP="00131C42">
                  <w:pPr>
                    <w:spacing w:before="0"/>
                    <w:jc w:val="center"/>
                    <w:rPr>
                      <w:rFonts w:ascii="Georgia" w:hAnsi="Georgia"/>
                      <w:b/>
                      <w:color w:val="FF0000"/>
                      <w:sz w:val="24"/>
                    </w:rPr>
                  </w:pPr>
                  <w:r w:rsidRPr="00E90071">
                    <w:rPr>
                      <w:rFonts w:ascii="Georgia" w:hAnsi="Georgia"/>
                      <w:b/>
                      <w:caps/>
                      <w:color w:val="FF0000"/>
                      <w:sz w:val="24"/>
                    </w:rPr>
                    <w:t>template for author</w:t>
                  </w:r>
                </w:p>
              </w:txbxContent>
            </v:textbox>
          </v:rect>
        </w:pict>
      </w:r>
      <w:r w:rsidR="003318BA">
        <w:rPr>
          <w:rFonts w:ascii="Georgia" w:hAnsi="Georgia"/>
          <w:b/>
          <w:color w:val="0000FF"/>
          <w:sz w:val="24"/>
          <w:lang w:val="en-US"/>
        </w:rPr>
        <w:drawing>
          <wp:anchor distT="0" distB="0" distL="114300" distR="114300" simplePos="0" relativeHeight="251661312" behindDoc="0" locked="0" layoutInCell="1" allowOverlap="1" wp14:anchorId="59DE0D80" wp14:editId="36B8C8AF">
            <wp:simplePos x="0" y="0"/>
            <wp:positionH relativeFrom="column">
              <wp:posOffset>-5969</wp:posOffset>
            </wp:positionH>
            <wp:positionV relativeFrom="paragraph">
              <wp:posOffset>-627380</wp:posOffset>
            </wp:positionV>
            <wp:extent cx="1259205" cy="506730"/>
            <wp:effectExtent l="0" t="0" r="0" b="0"/>
            <wp:wrapSquare wrapText="bothSides"/>
            <wp:docPr id="1" name="Picture 1" descr="E:\JURNAL S2 IKM UNS\LOGO JURNAL\PNG\JE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S2 IKM UNS\LOGO JURNAL\PNG\JEPH.png"/>
                    <pic:cNvPicPr>
                      <a:picLocks noChangeAspect="1" noChangeArrowheads="1"/>
                    </pic:cNvPicPr>
                  </pic:nvPicPr>
                  <pic:blipFill>
                    <a:blip r:embed="rId6" cstate="print"/>
                    <a:srcRect/>
                    <a:stretch>
                      <a:fillRect/>
                    </a:stretch>
                  </pic:blipFill>
                  <pic:spPr bwMode="auto">
                    <a:xfrm>
                      <a:off x="0" y="0"/>
                      <a:ext cx="1259205" cy="5067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04B67">
        <w:rPr>
          <w:b/>
          <w:lang w:val="en-US"/>
        </w:rPr>
        <w:tab/>
      </w:r>
    </w:p>
    <w:p w14:paraId="322BE56A" w14:textId="6EDC7010" w:rsidR="00DB162F" w:rsidRPr="00CD65D4" w:rsidRDefault="00CD65D4" w:rsidP="00FA1785">
      <w:pPr>
        <w:pStyle w:val="Yeti"/>
        <w:jc w:val="center"/>
        <w:rPr>
          <w:b/>
          <w:bCs/>
          <w:sz w:val="28"/>
          <w:szCs w:val="28"/>
        </w:rPr>
      </w:pPr>
      <w:bookmarkStart w:id="0" w:name="_GoBack"/>
      <w:r w:rsidRPr="00CD65D4">
        <w:rPr>
          <w:b/>
          <w:bCs/>
          <w:sz w:val="28"/>
          <w:szCs w:val="28"/>
        </w:rPr>
        <w:t>RISK FACTOR ANALYSIS OF FAMILY CHARACTERISTICS AND HEALTH HISTORY OF CHILDREN UNDER FIVE ON THE INCIDENCE OF STUNTING IN SIDENREN</w:t>
      </w:r>
      <w:r w:rsidR="00F355F3">
        <w:rPr>
          <w:b/>
          <w:bCs/>
          <w:sz w:val="28"/>
          <w:szCs w:val="28"/>
          <w:lang w:val="en-US"/>
        </w:rPr>
        <w:t>G</w:t>
      </w:r>
      <w:r w:rsidRPr="00CD65D4">
        <w:rPr>
          <w:b/>
          <w:bCs/>
          <w:sz w:val="28"/>
          <w:szCs w:val="28"/>
        </w:rPr>
        <w:t xml:space="preserve"> RAPPANG</w:t>
      </w:r>
    </w:p>
    <w:bookmarkEnd w:id="0"/>
    <w:p w14:paraId="60701BB3" w14:textId="77777777" w:rsidR="00F86F52" w:rsidRDefault="00F86F52" w:rsidP="00FA1785">
      <w:pPr>
        <w:pStyle w:val="Yeti"/>
        <w:jc w:val="center"/>
        <w:rPr>
          <w:lang w:val="en-US"/>
        </w:rPr>
      </w:pPr>
    </w:p>
    <w:p w14:paraId="464DB52E" w14:textId="2E2C8A6A" w:rsidR="0011025F" w:rsidRDefault="0011025F" w:rsidP="00FA1785">
      <w:pPr>
        <w:pStyle w:val="Yeti"/>
        <w:jc w:val="center"/>
        <w:rPr>
          <w:b/>
          <w:sz w:val="22"/>
        </w:rPr>
      </w:pPr>
      <w:r>
        <w:rPr>
          <w:b/>
          <w:sz w:val="22"/>
        </w:rPr>
        <w:t>Zulkarnain Sulaiman</w:t>
      </w:r>
    </w:p>
    <w:p w14:paraId="7DC6E324" w14:textId="54341FE0" w:rsidR="0011025F" w:rsidRDefault="0011025F" w:rsidP="00FA1785">
      <w:pPr>
        <w:pStyle w:val="Yeti"/>
        <w:jc w:val="center"/>
        <w:rPr>
          <w:b/>
          <w:sz w:val="22"/>
        </w:rPr>
      </w:pPr>
      <w:r>
        <w:rPr>
          <w:b/>
          <w:sz w:val="22"/>
        </w:rPr>
        <w:t>Devy Febrianti</w:t>
      </w:r>
    </w:p>
    <w:p w14:paraId="6EB7AB24" w14:textId="559F3153" w:rsidR="0011025F" w:rsidRDefault="0011025F" w:rsidP="00FA1785">
      <w:pPr>
        <w:pStyle w:val="Yeti"/>
        <w:jc w:val="center"/>
        <w:rPr>
          <w:b/>
          <w:sz w:val="22"/>
        </w:rPr>
      </w:pPr>
      <w:r>
        <w:rPr>
          <w:b/>
          <w:sz w:val="22"/>
        </w:rPr>
        <w:t>Sunandar Said</w:t>
      </w:r>
    </w:p>
    <w:p w14:paraId="57343350" w14:textId="27150DE0" w:rsidR="0011025F" w:rsidRDefault="0011025F" w:rsidP="00FA1785">
      <w:pPr>
        <w:pStyle w:val="Yeti"/>
        <w:jc w:val="center"/>
        <w:rPr>
          <w:b/>
          <w:sz w:val="22"/>
        </w:rPr>
      </w:pPr>
      <w:r>
        <w:rPr>
          <w:b/>
          <w:sz w:val="22"/>
        </w:rPr>
        <w:t>Khaeriyah Adri</w:t>
      </w:r>
    </w:p>
    <w:p w14:paraId="46C3617D" w14:textId="77777777" w:rsidR="003B3996" w:rsidRDefault="003B3996" w:rsidP="00FA1785">
      <w:pPr>
        <w:pStyle w:val="Yeti"/>
        <w:jc w:val="center"/>
        <w:rPr>
          <w:b/>
          <w:sz w:val="22"/>
          <w:lang w:val="en-US"/>
        </w:rPr>
      </w:pPr>
    </w:p>
    <w:p w14:paraId="507FC390" w14:textId="04965666" w:rsidR="00131C42" w:rsidRDefault="0011025F" w:rsidP="00FA1785">
      <w:pPr>
        <w:pStyle w:val="Yeti"/>
        <w:jc w:val="center"/>
        <w:rPr>
          <w:b/>
          <w:sz w:val="22"/>
        </w:rPr>
      </w:pPr>
      <w:r w:rsidRPr="0011025F">
        <w:rPr>
          <w:b/>
          <w:sz w:val="22"/>
        </w:rPr>
        <w:t>Faculty of Health Sciences</w:t>
      </w:r>
      <w:r>
        <w:rPr>
          <w:b/>
          <w:sz w:val="22"/>
        </w:rPr>
        <w:t xml:space="preserve">, University of Muhammadiyah Sidenreng Rappang, </w:t>
      </w:r>
      <w:r w:rsidR="007D2FD9">
        <w:rPr>
          <w:b/>
          <w:sz w:val="22"/>
        </w:rPr>
        <w:t>Indonesia</w:t>
      </w:r>
    </w:p>
    <w:p w14:paraId="38937944" w14:textId="77777777" w:rsidR="007D2FD9" w:rsidRDefault="007D2FD9" w:rsidP="007D2FD9">
      <w:pPr>
        <w:pStyle w:val="Yeti"/>
        <w:jc w:val="center"/>
        <w:rPr>
          <w:b/>
          <w:sz w:val="22"/>
        </w:rPr>
      </w:pPr>
      <w:r w:rsidRPr="0011025F">
        <w:rPr>
          <w:b/>
          <w:sz w:val="22"/>
        </w:rPr>
        <w:t>Faculty of Health Sciences</w:t>
      </w:r>
      <w:r>
        <w:rPr>
          <w:b/>
          <w:sz w:val="22"/>
        </w:rPr>
        <w:t>, University of Muhammadiyah Sidenreng Rappang, Indonesia</w:t>
      </w:r>
    </w:p>
    <w:p w14:paraId="0C9FE59F" w14:textId="77777777" w:rsidR="007D2FD9" w:rsidRDefault="007D2FD9" w:rsidP="007D2FD9">
      <w:pPr>
        <w:pStyle w:val="Yeti"/>
        <w:jc w:val="center"/>
        <w:rPr>
          <w:b/>
          <w:sz w:val="22"/>
        </w:rPr>
      </w:pPr>
      <w:r w:rsidRPr="0011025F">
        <w:rPr>
          <w:b/>
          <w:sz w:val="22"/>
        </w:rPr>
        <w:t>Faculty of Health Sciences</w:t>
      </w:r>
      <w:r>
        <w:rPr>
          <w:b/>
          <w:sz w:val="22"/>
        </w:rPr>
        <w:t>, University of Muhammadiyah Sidenreng Rappang, Indonesia</w:t>
      </w:r>
    </w:p>
    <w:p w14:paraId="6D38B5EA" w14:textId="77777777" w:rsidR="007D2FD9" w:rsidRDefault="007D2FD9" w:rsidP="007D2FD9">
      <w:pPr>
        <w:pStyle w:val="Yeti"/>
        <w:jc w:val="center"/>
        <w:rPr>
          <w:b/>
          <w:sz w:val="22"/>
        </w:rPr>
      </w:pPr>
      <w:r w:rsidRPr="0011025F">
        <w:rPr>
          <w:b/>
          <w:sz w:val="22"/>
        </w:rPr>
        <w:t>Faculty of Health Sciences</w:t>
      </w:r>
      <w:r>
        <w:rPr>
          <w:b/>
          <w:sz w:val="22"/>
        </w:rPr>
        <w:t>, University of Muhammadiyah Sidenreng Rappang, Indonesia</w:t>
      </w:r>
    </w:p>
    <w:p w14:paraId="4DA6D75E" w14:textId="77777777" w:rsidR="007D2FD9" w:rsidRPr="00E90ED9" w:rsidRDefault="007D2FD9" w:rsidP="00FA1785">
      <w:pPr>
        <w:pStyle w:val="Yeti"/>
        <w:jc w:val="center"/>
        <w:rPr>
          <w:b/>
          <w:color w:val="0000FF"/>
          <w:sz w:val="22"/>
          <w:lang w:val="en-US"/>
        </w:rPr>
      </w:pPr>
    </w:p>
    <w:p w14:paraId="5D97506C" w14:textId="77777777" w:rsidR="0011025F" w:rsidRDefault="0011025F" w:rsidP="00FA1785">
      <w:pPr>
        <w:pStyle w:val="Yeti"/>
        <w:jc w:val="center"/>
        <w:rPr>
          <w:b/>
          <w:caps/>
          <w:sz w:val="21"/>
          <w:szCs w:val="21"/>
          <w:lang w:val="en-US"/>
        </w:rPr>
      </w:pPr>
    </w:p>
    <w:p w14:paraId="51E79B98" w14:textId="4C6519B0" w:rsidR="00DB162F" w:rsidRDefault="00DB162F" w:rsidP="00FA1785">
      <w:pPr>
        <w:pStyle w:val="Yeti"/>
        <w:jc w:val="center"/>
        <w:rPr>
          <w:b/>
          <w:lang w:val="en-US"/>
        </w:rPr>
      </w:pPr>
      <w:r w:rsidRPr="006A368D">
        <w:rPr>
          <w:b/>
          <w:caps/>
          <w:sz w:val="21"/>
          <w:szCs w:val="21"/>
          <w:lang w:val="en-US"/>
        </w:rPr>
        <w:t>Abstract</w:t>
      </w:r>
      <w:r>
        <w:rPr>
          <w:b/>
          <w:lang w:val="en-US"/>
        </w:rPr>
        <w:t xml:space="preserve"> </w:t>
      </w:r>
    </w:p>
    <w:p w14:paraId="315FFD60" w14:textId="547A30C8" w:rsidR="00D07382" w:rsidRPr="00BA11C8" w:rsidRDefault="00D07382" w:rsidP="00FA1785">
      <w:pPr>
        <w:pStyle w:val="Yeti"/>
        <w:jc w:val="both"/>
        <w:rPr>
          <w:lang w:val="en-US"/>
        </w:rPr>
      </w:pPr>
    </w:p>
    <w:p w14:paraId="1798153B" w14:textId="3DFA54AD" w:rsidR="0011025F" w:rsidRPr="0011025F" w:rsidRDefault="00D07382" w:rsidP="00FA1785">
      <w:pPr>
        <w:pStyle w:val="Yeti"/>
        <w:jc w:val="both"/>
        <w:rPr>
          <w:bCs/>
          <w:lang w:val="en-US"/>
        </w:rPr>
      </w:pPr>
      <w:r>
        <w:rPr>
          <w:b/>
          <w:lang w:val="en-US"/>
        </w:rPr>
        <w:t>Background:</w:t>
      </w:r>
      <w:r w:rsidR="00A73D2A">
        <w:rPr>
          <w:lang w:val="en-ID"/>
        </w:rPr>
        <w:t xml:space="preserve"> </w:t>
      </w:r>
      <w:r w:rsidR="0011025F" w:rsidRPr="0011025F">
        <w:rPr>
          <w:bCs/>
          <w:lang w:val="en-US"/>
        </w:rPr>
        <w:t xml:space="preserve">Stunting is one of the global nutritional problems that </w:t>
      </w:r>
      <w:r w:rsidR="0011025F">
        <w:rPr>
          <w:bCs/>
          <w:lang w:val="en-US"/>
        </w:rPr>
        <w:t>are</w:t>
      </w:r>
      <w:r w:rsidR="0011025F" w:rsidRPr="0011025F">
        <w:rPr>
          <w:bCs/>
          <w:lang w:val="en-US"/>
        </w:rPr>
        <w:t xml:space="preserve"> still widely found, especially in developing countries. in Asia alone 87 million children were stunted. the prevalence of stunting in Sidenreng Rappang district was 26.10% in 2019. The purpose of this study was to look at the risk of family characteristics and health history on the incidence of stunting.</w:t>
      </w:r>
    </w:p>
    <w:p w14:paraId="6141FE68" w14:textId="76E3EE85" w:rsidR="0011025F" w:rsidRDefault="00D07382" w:rsidP="0011025F">
      <w:pPr>
        <w:pStyle w:val="Yeti"/>
        <w:jc w:val="both"/>
        <w:rPr>
          <w:lang w:val="en-US"/>
        </w:rPr>
      </w:pPr>
      <w:r>
        <w:rPr>
          <w:b/>
          <w:lang w:val="en-US"/>
        </w:rPr>
        <w:t>Subjects and Method:</w:t>
      </w:r>
    </w:p>
    <w:p w14:paraId="622EAC90" w14:textId="2563B30A" w:rsidR="00F86F52" w:rsidRDefault="0011025F" w:rsidP="00F86F52">
      <w:pPr>
        <w:pStyle w:val="Yeti"/>
        <w:tabs>
          <w:tab w:val="right" w:leader="dot" w:pos="9639"/>
        </w:tabs>
        <w:jc w:val="both"/>
        <w:rPr>
          <w:lang w:val="en-US"/>
        </w:rPr>
      </w:pPr>
      <w:r w:rsidRPr="00A02C2C">
        <w:t xml:space="preserve">The research design used </w:t>
      </w:r>
      <w:r>
        <w:t>was</w:t>
      </w:r>
      <w:r w:rsidRPr="00A02C2C">
        <w:t xml:space="preserve"> an observational study with an epidemiological design, namely a case-control study</w:t>
      </w:r>
      <w:r>
        <w:t xml:space="preserve">. </w:t>
      </w:r>
      <w:r w:rsidR="00104B67" w:rsidRPr="005541D6">
        <w:t>The number of case samples obtained was 51 respondents so that the control sample was also 51 people and the total sample used was 102 respondents</w:t>
      </w:r>
      <w:r w:rsidR="00104B67">
        <w:t xml:space="preserve">. </w:t>
      </w:r>
      <w:r w:rsidR="00104B67" w:rsidRPr="00104B67">
        <w:t>The statistical test used is chi-square analysis and logistic regression</w:t>
      </w:r>
    </w:p>
    <w:p w14:paraId="339F0E58" w14:textId="21BC6F31" w:rsidR="00D07382" w:rsidRDefault="00D07382" w:rsidP="00FA1785">
      <w:pPr>
        <w:pStyle w:val="Yeti"/>
        <w:jc w:val="both"/>
        <w:rPr>
          <w:lang w:val="en-US"/>
        </w:rPr>
      </w:pPr>
      <w:r>
        <w:rPr>
          <w:b/>
          <w:lang w:val="en-US"/>
        </w:rPr>
        <w:t>Results:</w:t>
      </w:r>
      <w:r w:rsidR="00104B67">
        <w:rPr>
          <w:b/>
        </w:rPr>
        <w:t xml:space="preserve"> </w:t>
      </w:r>
      <w:r w:rsidR="00104B67">
        <w:rPr>
          <w:bCs/>
        </w:rPr>
        <w:t xml:space="preserve">We </w:t>
      </w:r>
      <w:r w:rsidR="00104B67" w:rsidRPr="00CD65D4">
        <w:t xml:space="preserve"> </w:t>
      </w:r>
      <w:r w:rsidR="00104B67">
        <w:t xml:space="preserve">found </w:t>
      </w:r>
      <w:r w:rsidR="00104B67" w:rsidRPr="00CD65D4">
        <w:t xml:space="preserve">significant correlation between mother’s education and the incidence of stunting with p-value = 0.022 or α &lt; 0.05, low birth weight (LBW) with p-value = 0.000 or α &lt; 0.05, and history of infection with p-value 0.043 or α &lt; 0.05. As for household members, there is no significant correlation with stunting with p-value = 0.596 or α &gt; 0.05. </w:t>
      </w:r>
      <w:r w:rsidR="00104B67">
        <w:t>In other, we</w:t>
      </w:r>
      <w:r w:rsidR="00104B67" w:rsidRPr="00CD65D4">
        <w:t xml:space="preserve"> found that the risk of stunting in mothers with low education was 2,988 times higher than those with high education with OR = 2,988 (CI=1.236-6.735). Whereas for a household member, the household member that was more than 4 people were 0.625 times higher than those have 4 or less with OR = 0.625 (CI=0.227-1.874). LBW is 10.444 times more at risk than those born with normal weight with OR = 10.444 (CI = 3.276-33.300). Toddlers with a history of infection are at 2.496 times higher risk than those without a history of infection with OR = 2.496 (CI=1.105-5.639)</w:t>
      </w:r>
      <w:r w:rsidR="00A73D2A" w:rsidRPr="00A73D2A">
        <w:rPr>
          <w:lang w:val="en-US"/>
        </w:rPr>
        <w:t>.</w:t>
      </w:r>
    </w:p>
    <w:p w14:paraId="371D80C3" w14:textId="4D310A75" w:rsidR="00D07382" w:rsidRPr="00D47DC2" w:rsidRDefault="00D07382" w:rsidP="00FA1785">
      <w:pPr>
        <w:pStyle w:val="Yeti"/>
        <w:jc w:val="both"/>
        <w:rPr>
          <w:lang w:val="en-US"/>
        </w:rPr>
      </w:pPr>
      <w:r>
        <w:rPr>
          <w:b/>
          <w:lang w:val="en-US"/>
        </w:rPr>
        <w:t>Conclusion:</w:t>
      </w:r>
      <w:r w:rsidR="00104B67">
        <w:rPr>
          <w:b/>
        </w:rPr>
        <w:t xml:space="preserve"> </w:t>
      </w:r>
      <w:r w:rsidR="00104B67" w:rsidRPr="00104B67">
        <w:rPr>
          <w:bCs/>
        </w:rPr>
        <w:t>The highest risk factor for stunting is the low birth weight factor</w:t>
      </w:r>
      <w:r w:rsidR="00D47DC2" w:rsidRPr="00D47DC2">
        <w:rPr>
          <w:lang w:val="en-US"/>
        </w:rPr>
        <w:t>.</w:t>
      </w:r>
    </w:p>
    <w:p w14:paraId="77881C69" w14:textId="77777777" w:rsidR="00104B67" w:rsidRDefault="00104B67" w:rsidP="00D82E5E">
      <w:pPr>
        <w:pStyle w:val="Yeti"/>
        <w:jc w:val="both"/>
        <w:rPr>
          <w:b/>
          <w:lang w:val="en-US"/>
        </w:rPr>
      </w:pPr>
    </w:p>
    <w:p w14:paraId="7D8E443B" w14:textId="502C1638" w:rsidR="00F86F52" w:rsidRDefault="00D07382" w:rsidP="00104B67">
      <w:pPr>
        <w:pStyle w:val="Yeti"/>
        <w:jc w:val="both"/>
        <w:rPr>
          <w:lang w:val="en-US"/>
        </w:rPr>
      </w:pPr>
      <w:r>
        <w:rPr>
          <w:b/>
          <w:lang w:val="en-US"/>
        </w:rPr>
        <w:t>Keywords:</w:t>
      </w:r>
      <w:r w:rsidR="00190519">
        <w:rPr>
          <w:b/>
          <w:lang w:val="en-US"/>
        </w:rPr>
        <w:t xml:space="preserve"> </w:t>
      </w:r>
      <w:r w:rsidR="00104B67">
        <w:rPr>
          <w:bCs/>
        </w:rPr>
        <w:t xml:space="preserve">Stunting, Mother’s Education, LBW, Infection History </w:t>
      </w:r>
    </w:p>
    <w:p w14:paraId="55DC7A7A" w14:textId="77777777" w:rsidR="00D07382" w:rsidRDefault="00D07382" w:rsidP="00FA1785">
      <w:pPr>
        <w:pStyle w:val="Yeti"/>
        <w:rPr>
          <w:b/>
          <w:lang w:val="en-US"/>
        </w:rPr>
      </w:pPr>
    </w:p>
    <w:p w14:paraId="4BD1B49E" w14:textId="77777777" w:rsidR="00104B67" w:rsidRDefault="00104B67">
      <w:pPr>
        <w:rPr>
          <w:rFonts w:ascii="Georgia" w:eastAsia="Times New Roman" w:hAnsi="Georgia" w:cs="Times New Roman"/>
          <w:b/>
          <w:sz w:val="24"/>
          <w:szCs w:val="24"/>
          <w:lang w:val="en-US" w:eastAsia="en-GB"/>
        </w:rPr>
      </w:pPr>
      <w:r>
        <w:rPr>
          <w:b/>
          <w:lang w:val="en-US"/>
        </w:rPr>
        <w:br w:type="page"/>
      </w:r>
    </w:p>
    <w:p w14:paraId="06537BA8" w14:textId="3B6FD1D5" w:rsidR="00D07382" w:rsidRDefault="00D07382" w:rsidP="00FA1785">
      <w:pPr>
        <w:pStyle w:val="Yeti"/>
        <w:rPr>
          <w:b/>
          <w:lang w:val="en-US"/>
        </w:rPr>
      </w:pPr>
      <w:r>
        <w:rPr>
          <w:b/>
          <w:lang w:val="en-US"/>
        </w:rPr>
        <w:lastRenderedPageBreak/>
        <w:t>Correspondence:</w:t>
      </w:r>
    </w:p>
    <w:p w14:paraId="659BD9AD" w14:textId="4A9CE5A9" w:rsidR="00104B67" w:rsidRPr="00104B67" w:rsidRDefault="00104B67" w:rsidP="00FA1785">
      <w:pPr>
        <w:pStyle w:val="Yeti"/>
        <w:jc w:val="both"/>
      </w:pPr>
      <w:r>
        <w:t xml:space="preserve">Zulkarnai Sulaiman, Jl. Angkatan 45 No. 1, Lotang Salo Sidenreng Rappang, South Sulawesi, Indonesia. Email address : </w:t>
      </w:r>
      <w:hyperlink r:id="rId7" w:history="1">
        <w:r w:rsidR="00AF178B" w:rsidRPr="008F67A5">
          <w:rPr>
            <w:rStyle w:val="Hyperlink"/>
          </w:rPr>
          <w:t>zoelvoc55@gmail.com</w:t>
        </w:r>
      </w:hyperlink>
      <w:r>
        <w:t xml:space="preserve">. </w:t>
      </w:r>
    </w:p>
    <w:p w14:paraId="43879F44" w14:textId="77777777" w:rsidR="00D07382" w:rsidRDefault="00D07382" w:rsidP="00FA1785">
      <w:pPr>
        <w:pStyle w:val="Yeti"/>
        <w:rPr>
          <w:b/>
          <w:lang w:val="en-US"/>
        </w:rPr>
      </w:pPr>
    </w:p>
    <w:p w14:paraId="44F5DC01" w14:textId="77777777" w:rsidR="00D61901" w:rsidRPr="00D61901" w:rsidRDefault="00D61901" w:rsidP="00FA1785">
      <w:pPr>
        <w:pStyle w:val="Yeti"/>
        <w:jc w:val="both"/>
        <w:rPr>
          <w:b/>
          <w:lang w:val="en-US"/>
        </w:rPr>
      </w:pPr>
      <w:r w:rsidRPr="00D61901">
        <w:rPr>
          <w:b/>
          <w:lang w:val="en-US"/>
        </w:rPr>
        <w:t>BACKGROUND</w:t>
      </w:r>
    </w:p>
    <w:p w14:paraId="59729C7B" w14:textId="2585FC2C" w:rsidR="00CD65D4" w:rsidRDefault="00CD65D4" w:rsidP="00CD65D4">
      <w:pPr>
        <w:rPr>
          <w:rFonts w:ascii="Georgia" w:hAnsi="Georgia"/>
          <w:sz w:val="24"/>
          <w:lang w:val="id-ID"/>
        </w:rPr>
      </w:pPr>
      <w:r w:rsidRPr="00CD65D4">
        <w:rPr>
          <w:rFonts w:ascii="Georgia" w:hAnsi="Georgia"/>
          <w:sz w:val="24"/>
          <w:lang w:val="id-ID"/>
        </w:rPr>
        <w:t>The three main indicators used to define malnutrition, namely, stunting, underweight, and wasting, the three indicators represent different nutritional problems for children as measured by the index of height for age, weight for height, and weight for age. The Lancet said that pregnant women and children who have malnutrition have a strong association with stunting at the age of two years and have long-term consequences</w:t>
      </w:r>
      <w:r w:rsidRPr="00CD65D4">
        <w:rPr>
          <w:rFonts w:ascii="Georgia" w:hAnsi="Georgia"/>
          <w:sz w:val="24"/>
          <w:lang w:val="id-ID"/>
        </w:rPr>
        <w:fldChar w:fldCharType="begin" w:fldLock="1"/>
      </w:r>
      <w:r>
        <w:rPr>
          <w:rFonts w:ascii="Georgia" w:hAnsi="Georgia"/>
          <w:sz w:val="24"/>
          <w:lang w:val="id-ID"/>
        </w:rPr>
        <w:instrText>ADDIN CSL_CITATION {"citationItems":[{"id":"ITEM-1","itemData":{"DOI":"10.3390/nu9050491","ISBN":"3492845347","ISSN":"20726643","PMID":"28498315","abstract":"The objective of this study was to identify the major socio-demographic, health, and environmental determinants of stunting among children aged 0–59 months from the Tete province (Mozambique) and offering useful information for future healthcare strategies and interventions. A case-control study was conducted among 282 (162 boys; 120 girls) children under five years of age from the central region of Mozambique between 1 May and 3 June 2014. Children with stunting (HAZ &lt; −2 SD according to the WHO Child Growth Standards in 2006) were considered as cases and those who had a Z-score &lt; −2 SD were considered as controls. We collected data related to mothers and children and their environment, and they were assessed in two groups to find a possible association. The software used for data analysis was the SPSS® (version, 21.0) using descriptive statistics, t-test, ANOVA, chi-square analyses, bivariate comparisons, and stepwise multiple logistic regression analysis. The results showed that birth weight, mother’s educational status, maternal occupation, living in a rural area, family size, number of children under five years of age in the household, cooking with charcoal, inhabiting wooden or straw housing or housing without proper floors, overall duration of breastfeeding as well as duration of exclusive breastfeeding, and time of initiation of complementary feeding were significantly related to stunting. Thus, appropriate nutritional intervention programmes considering these determinants and the dissemination of knowledge at the population level related to undernutrition are necessary to ameliorate the children´s nutritional status.","author":[{"dropping-particle":"","family":"García Cruz","given":"Loida M.","non-dropping-particle":"","parse-names":false,"suffix":""},{"dropping-particle":"","family":"González Azpeitia","given":"Gloria","non-dropping-particle":"","parse-names":false,"suffix":""},{"dropping-particle":"","family":"Reyes Súarez","given":"Desiderio","non-dropping-particle":"","parse-names":false,"suffix":""},{"dropping-particle":"","family":"Santana Rodríguez","given":"Alfredo","non-dropping-particle":"","parse-names":false,"suffix":""},{"dropping-particle":"","family":"Loro Ferrer","given":"Juan Francisco","non-dropping-particle":"","parse-names":false,"suffix":""},{"dropping-particle":"","family":"Serra-Majem","given":"Lluis","non-dropping-particle":"","parse-names":false,"suffix":""}],"container-title":"Nutrients","id":"ITEM-1","issue":"5","issued":{"date-parts":[["2017"]]},"page":"1-16","title":"Factors associated with stunting among children aged 0 to 59 months from the central region of Mozambique","type":"article-journal","volume":"9"},"uris":["http://www.mendeley.com/documents/?uuid=c8c72a9e-20f0-4c8d-916a-df31f6f6312c"]}],"mendeley":{"formattedCitation":"(García Cruz &lt;i&gt;et al.&lt;/i&gt;, 2017)","plainTextFormattedCitation":"(García Cruz et al., 2017)","previouslyFormattedCitation":"(García Cruz &lt;i&gt;et al.&lt;/i&gt;, 2017)"},"properties":{"noteIndex":0},"schema":"https://github.com/citation-style-language/schema/raw/master/csl-citation.json"}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 xml:space="preserve">(García Cruz </w:t>
      </w:r>
      <w:r w:rsidRPr="00CD65D4">
        <w:rPr>
          <w:rFonts w:ascii="Georgia" w:hAnsi="Georgia"/>
          <w:i/>
          <w:sz w:val="24"/>
          <w:lang w:val="id-ID"/>
        </w:rPr>
        <w:t>et al.</w:t>
      </w:r>
      <w:r w:rsidRPr="00CD65D4">
        <w:rPr>
          <w:rFonts w:ascii="Georgia" w:hAnsi="Georgia"/>
          <w:sz w:val="24"/>
          <w:lang w:val="id-ID"/>
        </w:rPr>
        <w:t>, 2017)</w:t>
      </w:r>
      <w:r w:rsidRPr="00CD65D4">
        <w:rPr>
          <w:rFonts w:ascii="Georgia" w:hAnsi="Georgia"/>
          <w:sz w:val="24"/>
          <w:lang w:val="id-ID"/>
        </w:rPr>
        <w:fldChar w:fldCharType="end"/>
      </w:r>
      <w:r w:rsidRPr="00CD65D4">
        <w:rPr>
          <w:rFonts w:ascii="Georgia" w:hAnsi="Georgia"/>
          <w:sz w:val="24"/>
          <w:lang w:val="id-ID"/>
        </w:rPr>
        <w:t xml:space="preserve">. Stunting is a chronic malnutrition problem caused by inadequate nutritional intake for a long time due to feeding that is not following nutritional needs </w:t>
      </w:r>
      <w:r w:rsidRPr="00CD65D4">
        <w:rPr>
          <w:rFonts w:ascii="Georgia" w:hAnsi="Georgia"/>
          <w:sz w:val="24"/>
          <w:lang w:val="id-ID"/>
        </w:rPr>
        <w:fldChar w:fldCharType="begin" w:fldLock="1"/>
      </w:r>
      <w:r>
        <w:rPr>
          <w:rFonts w:ascii="Georgia" w:hAnsi="Georgia"/>
          <w:sz w:val="24"/>
          <w:lang w:val="id-ID"/>
        </w:rPr>
        <w:instrText>ADDIN CSL_CITATION {"citationItems":[{"id":"ITEM-1","itemData":{"abstract":"1. Pemenuhan kebutuhan zat gizi bagi ibu hamil. Ibu hamil harus mendapatkan makanan yang cukup gizi, suplementasi zat gizi (tablet zat besi atau Fe), dan terpantau kesehatannya. Namun, kepatuhan ibu hamil untuk meminum tablet tambah darah hanya 33%. Padahal mereka harus minimal konsumsi 90 tablet selama kehamilan. 2. ASI eksklusif sampai umur 6 bulan dan setelah umur 6 bulan diberi makanan pendamping ASI (MPASI) yang cukup jumlah dan kualitasnya. 3. Memantau pertumbuhan balita di posyandu merupakan upaya yang sangat strategis untuk mendeteksi dini terjadinya gangguan pertumbuhan. 4. Meningkatkan akses terhadap air bersih dan fasilitas sanitasi, serta menjaga kebersihan lingkungan. Sanitasi dan Kebersihan untuk Pertumbuhan Anak yang Sempurna Intervensi gizi saja belum cukup untuk mengatasi masalah stunting. Faktor sanitasi dan kebersihan lingkungan berpengaruh pula untuk kesehatan ibu hamil dan tumbuh kembang anak, karena anak usia di bawah dua tahun rentan terhadap berbagai infeksi dan penyakit. Paparan terus menerus terhadap kotoran manusia dan binatang dapat menyebabkan infeksi bakteri kronis. Infeksi tersebut, disebabkan oleh praktik sanitasi dan kebersihan yang kurang baik, membuat gizi sulit diserap oleh tubuh. Rendahnya sanitasi dan kebersihan lingkungan pun memicu gangguan saluran pencernaan, yang membuat energi untuk pertumbuhan teralihkan kepada perlawanan tubuh menghadapi infeksi. 1 Sebuah riset lain menemukan bahwa semakin sering seorang anak menderita diare, maka semakin besar pula ancaman stunting untuknya. 2 Selain itu, saat anak sakit, lazimnya selera makan mereka pun berkurang, sehingga asupan gizi makin rendah. Maka, pertumbuhan sel otak yang seharusnya sangat pesat dalam dua tahun pertama seorang anak menjadi terhambat. Dampaknya, anak tersebut terancam menderita stunting, yang mengakibatkan pertumbuhan mental dan fisiknya terganggu, sehingga potensinya tak dapat berkembang dengan maksimal. 1 Schmidt, Charles W. \" Beyond malnutrition: the role of sanitation in stunted growth. \" Environmental health perspectives 122.11 (2014): A298.","author":[{"dropping-particle":"","family":"Millennium Challenge Account Indonesia","given":"","non-dropping-particle":"","parse-names":false,"suffix":""}],"container-title":"Millennium Challenge Account - Indonesia","id":"ITEM-1","issued":{"date-parts":[["2013"]]},"page":"2-5","title":"Stunting dan Masa Depan Indonesia","type":"article-journal","volume":"2010"},"uris":["http://www.mendeley.com/documents/?uuid=af79bb67-a4f9-469f-a774-f221b60689b5"]}],"mendeley":{"formattedCitation":"(Millennium Challenge Account Indonesia, 2013)","plainTextFormattedCitation":"(Millennium Challenge Account Indonesia, 2013)","previouslyFormattedCitation":"(Millennium Challenge Account Indonesia, 2013)"},"properties":{"noteIndex":0},"schema":"https://github.com/citation-style-language/schema/raw/master/csl-citation.json"}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(Millennium Challenge Account Indonesia, 2013)</w:t>
      </w:r>
      <w:r w:rsidRPr="00CD65D4">
        <w:rPr>
          <w:rFonts w:ascii="Georgia" w:hAnsi="Georgia"/>
          <w:sz w:val="24"/>
          <w:lang w:val="id-ID"/>
        </w:rPr>
        <w:fldChar w:fldCharType="end"/>
      </w:r>
      <w:r w:rsidR="00323DBF">
        <w:rPr>
          <w:rFonts w:ascii="Georgia" w:hAnsi="Georgia"/>
          <w:sz w:val="24"/>
          <w:lang w:val="id-ID"/>
        </w:rPr>
        <w:fldChar w:fldCharType="begin" w:fldLock="1"/>
      </w:r>
      <w:r w:rsidR="00323DBF">
        <w:rPr>
          <w:rFonts w:ascii="Georgia" w:hAnsi="Georgia"/>
          <w:sz w:val="24"/>
          <w:lang w:val="id-ID"/>
        </w:rPr>
        <w:instrText>ADDIN CSL_CITATION {"citationItems":[{"id":"ITEM-1","itemData":{"DOI":"10.1542/peds.2016-0641","ISSN":"10984275","PMID":"27940670","abstract":"Approximately 25% of the world's children aged &lt;5 years have stunted growth, which is associated with increased mortality, cognitive dysfunction, and loss of productivity. Reducing by 40% the number of stunted children is a global target for 2030. The pathogenesis of stunting is poorly understood. Prenatal and postnatal nutritional deficits and enteric and systemic infections clearly contribute, but recent findings implicate a central role for environmental enteric dysfunction (EED), a generalized disturbance of small intestinal structure and function found at a high prevalence in children living under unsanitary conditions. Mechanisms contributing to growth failure in EED include intestinal leakiness and heightened permeability, gut inflammation, dysbiosis and bacterial translocation, systemic inflammation, and nutrient malabsorption. Because EED has multiple causal pathways, approaches to manage it need to be multifaceted. Potential interventions to tackle EED include: (1) reduction of exposure to feces and contact with animals through programs such as improved water, sanitation, and hygiene; (2) breastfeeding and enhanced dietary diversity; (3) probiotics and prebiotics; (4) nutrient supplements, including zinc, polyunsaturated fatty acids, and amino acids; (5) antiinflammatory agents such as 5-aminosalicyclic acid; and (6) antibiotics in the context of acute malnutrition and infection. Better understanding of the underlying causes of EED and development of noninvasive, practical, simple, and affordable point-of-care diagnostic tools remain key gaps. \"Omics\" technologies (genomics, epigenomics, transcriptomics, proteomics, and metabolomics) and stable isotope techniques (eg, 13C breath tests) targeted at children and their intestinal microbiota will enhance our ability to successfully identify, manage, and prevent this disorder.","author":[{"dropping-particle":"","family":"Owino","given":"Victor","non-dropping-particle":"","parse-names":false,"suffix":""},{"dropping-particle":"","family":"Ahmed","given":"Tahmeed","non-dropping-particle":"","parse-names":false,"suffix":""},{"dropping-particle":"","family":"Freemark","given":"Michael","non-dropping-particle":"","parse-names":false,"suffix":""},{"dropping-particle":"","family":"Kelly","given":"Paul","non-dropping-particle":"","parse-names":false,"suffix":""},{"dropping-particle":"","family":"Loy","given":"Alexander","non-dropping-particle":"","parse-names":false,"suffix":""},{"dropping-particle":"","family":"Manary","given":"Mark","non-dropping-particle":"","parse-names":false,"suffix":""},{"dropping-particle":"","family":"Loechl","given":"Cornelia","non-dropping-particle":"","parse-names":false,"suffix":""}],"container-title":"Pediatrics","id":"ITEM-1","issue":"6","issued":{"date-parts":[["2016"]]},"title":"Environmental enteric dysfunction and growth failure/stunting in global child health","type":"article-journal","volume":"138"},"uris":["http://www.mendeley.com/documents/?uuid=102b6402-fb87-4bd2-b0ec-3b87c4567c0f"]}],"mendeley":{"formattedCitation":"(Owino &lt;i&gt;et al.&lt;/i&gt;, 2016)","plainTextFormattedCitation":"(Owino et al., 2016)","previouslyFormattedCitation":"(Owino &lt;i&gt;et al.&lt;/i&gt;, 2016)"},"properties":{"noteIndex":0},"schema":"https://github.com/citation-style-language/schema/raw/master/csl-citation.json"}</w:instrText>
      </w:r>
      <w:r w:rsidR="00323DBF">
        <w:rPr>
          <w:rFonts w:ascii="Georgia" w:hAnsi="Georgia"/>
          <w:sz w:val="24"/>
          <w:lang w:val="id-ID"/>
        </w:rPr>
        <w:fldChar w:fldCharType="separate"/>
      </w:r>
      <w:r w:rsidR="00323DBF" w:rsidRPr="00323DBF">
        <w:rPr>
          <w:rFonts w:ascii="Georgia" w:hAnsi="Georgia"/>
          <w:sz w:val="24"/>
          <w:lang w:val="id-ID"/>
        </w:rPr>
        <w:t xml:space="preserve">(Owino </w:t>
      </w:r>
      <w:r w:rsidR="00323DBF" w:rsidRPr="00323DBF">
        <w:rPr>
          <w:rFonts w:ascii="Georgia" w:hAnsi="Georgia"/>
          <w:i/>
          <w:sz w:val="24"/>
          <w:lang w:val="id-ID"/>
        </w:rPr>
        <w:t>et al.</w:t>
      </w:r>
      <w:r w:rsidR="00323DBF" w:rsidRPr="00323DBF">
        <w:rPr>
          <w:rFonts w:ascii="Georgia" w:hAnsi="Georgia"/>
          <w:sz w:val="24"/>
          <w:lang w:val="id-ID"/>
        </w:rPr>
        <w:t>, 2016)</w:t>
      </w:r>
      <w:r w:rsidR="00323DBF">
        <w:rPr>
          <w:rFonts w:ascii="Georgia" w:hAnsi="Georgia"/>
          <w:sz w:val="24"/>
          <w:lang w:val="id-ID"/>
        </w:rPr>
        <w:fldChar w:fldCharType="end"/>
      </w:r>
      <w:r w:rsidRPr="00CD65D4">
        <w:rPr>
          <w:rFonts w:ascii="Georgia" w:hAnsi="Georgia"/>
          <w:sz w:val="24"/>
          <w:lang w:val="id-ID"/>
        </w:rPr>
        <w:t>. According to WHO, stunting is defined as a condition where height is at &lt;=-2.0 height-for-age z-score</w:t>
      </w:r>
      <w:r w:rsidR="0011025F">
        <w:rPr>
          <w:rFonts w:ascii="Georgia" w:hAnsi="Georgia"/>
          <w:sz w:val="24"/>
          <w:lang w:val="id-ID"/>
        </w:rPr>
        <w:t xml:space="preserve"> </w:t>
      </w:r>
      <w:r w:rsidRPr="00CD65D4">
        <w:rPr>
          <w:rFonts w:ascii="Georgia" w:hAnsi="Georgia"/>
          <w:sz w:val="24"/>
          <w:lang w:val="id-ID"/>
        </w:rPr>
        <w:fldChar w:fldCharType="begin" w:fldLock="1"/>
      </w:r>
      <w:r>
        <w:rPr>
          <w:rFonts w:ascii="Georgia" w:hAnsi="Georgia"/>
          <w:sz w:val="24"/>
          <w:lang w:val="id-ID"/>
        </w:rPr>
        <w:instrText>ADDIN CSL_CITATION {"citationItems":[{"id":"ITEM-1","itemData":{"DOI":"10.6133/apjcn.012016.01","ISSN":"09647058","PMID":"28244712","abstract":"Background and Objectives: More than one-quarter of under-five children in the developing world are stunted, and those with poor nutrient intake are at risk of irreversible cognitive impairment. The purpose of this study was to determine the relationship between dietary diversity and child stunting in an Indonesian context. Methods and Study Design: Dietary diversity was assessed using a maternal-reported checklist of 12 food groups, summed as a Household Dietary Diversity Score. Stunting was defined as ≤-2.0 height-for-age z-score by WHO-Anthro 2005. Trained interviewers administered the household dietary diversity questionnaire to 768 households with children aged &lt; 5 years in East Java, Indonesia. Logistic regression models were constructed to test the association between dietary diversity and child stunting. Results: The prevalence of child stunting was 39.4%, and the percentage of households consuming food groups high in protein and calcium, like dairy products (41%), and meat/poultry, (65%) was lower compared with other food groups. The unadjusted model revealed that higher dietary diversity scores were associated with lower likelihood of child stunting (OR=0.89; 95% CI=0.80-0.98). This relationship remained significant after adjustment for family size, maternal literacy, food expenditure, breastfeeding, energy, and protein intake (OR=0.89; 95% CI=0.80-0.99). Conclusions: The dietary diversity score was moderate, with consumption of dairy products and meat/poultry lowest among 12 food groups. Hence, population interventions should focus on promoting food groups currently lacking in maternal and child diet, including those rich in growth-promoting nutrients like dairy, meat/poultry. These results, from an Indonesian context, confirm the widely observed protective relationship between dietary diversity and child stunting.","author":[{"dropping-particle":"","family":"Mahmudiono","given":"Trias","non-dropping-particle":"","parse-names":false,"suffix":""},{"dropping-particle":"","family":"Sumarmi","given":"Sri","non-dropping-particle":"","parse-names":false,"suffix":""},{"dropping-particle":"","family":"Rosenkranz","given":"Richard R.","non-dropping-particle":"","parse-names":false,"suffix":""}],"container-title":"Asia Pacific Journal of Clinical Nutrition","id":"ITEM-1","issue":"2","issued":{"date-parts":[["2017"]]},"page":"317-325","title":"Household dietary diversity and child stunting in East Java, Indonesia","type":"article-journal","volume":"26"},"uris":["http://www.mendeley.com/documents/?uuid=d70e4ea0-b76d-4609-96ff-9d573e1f97aa"]}],"mendeley":{"formattedCitation":"(Mahmudiono, Sumarmi dan Rosenkranz, 2017)","plainTextFormattedCitation":"(Mahmudiono, Sumarmi dan Rosenkranz, 2017)","previouslyFormattedCitation":"(Mahmudiono, Sumarmi dan Rosenkranz, 2017)"},"properties":{"noteIndex":0},"schema":"https://github.com/citation-style-language/schema/raw/master/csl-citation.json"}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(Mahmudiono, Sumarmi dan Rosenkranz, 2017)</w:t>
      </w:r>
      <w:r w:rsidRPr="00CD65D4">
        <w:rPr>
          <w:rFonts w:ascii="Georgia" w:hAnsi="Georgia"/>
          <w:sz w:val="24"/>
          <w:lang w:val="id-ID"/>
        </w:rPr>
        <w:fldChar w:fldCharType="end"/>
      </w:r>
      <w:r w:rsidRPr="00CD65D4">
        <w:rPr>
          <w:rFonts w:ascii="Georgia" w:hAnsi="Georgia"/>
          <w:sz w:val="24"/>
          <w:lang w:val="id-ID"/>
        </w:rPr>
        <w:t>.</w:t>
      </w:r>
    </w:p>
    <w:p w14:paraId="4C6FC3A1" w14:textId="4BD10833" w:rsidR="00F86F52" w:rsidRPr="00CD65D4" w:rsidRDefault="00CD65D4" w:rsidP="00CD65D4">
      <w:pPr>
        <w:rPr>
          <w:rFonts w:ascii="Georgia" w:hAnsi="Georgia"/>
          <w:sz w:val="24"/>
          <w:lang w:val="id-ID"/>
        </w:rPr>
      </w:pPr>
      <w:r w:rsidRPr="00CD65D4">
        <w:rPr>
          <w:rFonts w:ascii="Georgia" w:hAnsi="Georgia"/>
          <w:sz w:val="24"/>
          <w:lang w:val="id-ID"/>
        </w:rPr>
        <w:t xml:space="preserve">In 2016, 22.9 percent or 154.8 million children under the age of 5 years were reported to be stunted worldwide, while in Asia alone 87 million children were stunted </w:t>
      </w:r>
      <w:r w:rsidRPr="00CD65D4">
        <w:rPr>
          <w:rFonts w:ascii="Georgia" w:hAnsi="Georgia"/>
          <w:sz w:val="24"/>
          <w:lang w:val="id-ID"/>
        </w:rPr>
        <w:fldChar w:fldCharType="begin" w:fldLock="1"/>
      </w:r>
      <w:r w:rsidRPr="00CD65D4">
        <w:rPr>
          <w:rFonts w:ascii="Georgia" w:hAnsi="Georgia"/>
          <w:sz w:val="24"/>
          <w:lang w:val="id-ID"/>
        </w:rPr>
        <w:instrText>ADDIN CSL_CITATION {"citationItems":[{"id":"ITEM-1","itemData":{"abstract":"Untuk memahami situasi terkini yang dihadapi anak-anak Indonesia, UNICEF telah mengkaji beragam permasalahan penting yang berdampak terhadap kehidupan anak dan pemuda: kemiskinan, pelayanan kesehatan, pendidikan, kekerasan, lingkungan, dan lain-lain.1 Analisis dilakukan terhadap sifat tantangan dan langkah yang telah atau akan diambil pemerintah untuk mengatasinya. Laporan ini juga berupaya merangkum analisis yang kompleks agar dapat bermanfaat untuk pembuat kebijakan, masyarakat sipil, media, dan masyarakat umum—semua pihak yang punya andil terhadap kesejahteraan anak Indonesia dan peran penting untuk memperbaiki kualitas kehidupan mereka.Indonesia telah mencatatkan banyak kemajuan penting dalam beberapa tahun terakhir, namun masih ada tantangan seperti mengeluarkan anak dari kemiskinan dan memperluas akses mereka kepada layanan kesehatan dan pendidikan. Kemajuan pun tidak merata: anak di wilayah perkotaan mengalami kemajuan yang lebih baik dibandingkan anak di perdesaan. Ada pula daerah yang masih tertinggal sementara bangsa ini terus melangkah maju. Anak dan pemuda yang tinggal dalam kemiskinan masih menanggung kondisi yang berat yang kadang-kadang mengancam nyawa dibandingkan dengan populasi secara keseluruhan.","author":[{"dropping-particle":"","family":"UNICEF","given":"","non-dropping-particle":"","parse-names":false,"suffix":""}],"container-title":"Unicef","id":"ITEM-1","issued":{"date-parts":[["2020"]]},"page":"8-38","title":"Situasi Anak di Indonesia - Tren, Peluang, dan Tantangan dalam Memenuhi Hak-hak Anak","type":"article-journal"},"uris":["http://www.mendeley.com/documents/?uuid=e3d7d0cd-b411-44f7-97c1-dee98856d79b"]}],"mendeley":{"formattedCitation":"(UNICEF, 2020)","plainTextFormattedCitation":"(UNICEF, 2020)","previouslyFormattedCitation":"(UNICEF, 2020)"},"properties":{"noteIndex":0},"schema":"https://github.com/citation-style-language/schema/raw/master/csl-citation.json"}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(UNICEF, 2020)</w:t>
      </w:r>
      <w:r w:rsidRPr="00CD65D4">
        <w:rPr>
          <w:rFonts w:ascii="Georgia" w:hAnsi="Georgia"/>
          <w:sz w:val="24"/>
          <w:lang w:val="id-ID"/>
        </w:rPr>
        <w:fldChar w:fldCharType="end"/>
      </w:r>
      <w:r w:rsidRPr="00CD65D4">
        <w:rPr>
          <w:rFonts w:ascii="Georgia" w:hAnsi="Georgia"/>
          <w:sz w:val="24"/>
          <w:lang w:val="id-ID"/>
        </w:rPr>
        <w:t>. Indonesia is the fifth largest stunting country in the world, according to the 2013 Basic Health Research, of 37.2% (nearly 9 million) under five, there are 29.6% are stunted.</w:t>
      </w:r>
      <w:r>
        <w:rPr>
          <w:rFonts w:ascii="Georgia" w:hAnsi="Georgia"/>
          <w:sz w:val="24"/>
          <w:lang w:val="id-ID"/>
        </w:rPr>
        <w:t xml:space="preserve"> </w:t>
      </w:r>
      <w:r w:rsidRPr="00CD65D4">
        <w:rPr>
          <w:rFonts w:ascii="Georgia" w:hAnsi="Georgia"/>
          <w:sz w:val="24"/>
          <w:lang w:val="id-ID"/>
        </w:rPr>
        <w:fldChar w:fldCharType="begin" w:fldLock="1"/>
      </w:r>
      <w:r w:rsidRPr="00CD65D4">
        <w:rPr>
          <w:rFonts w:ascii="Georgia" w:hAnsi="Georgia"/>
          <w:sz w:val="24"/>
          <w:lang w:val="id-ID"/>
        </w:rPr>
        <w:instrText>ADDIN CSL_CITATION {"citationItems":[{"id":"ITEM-1","itemData":{"abstract":"Untuk memahami situasi terkini yang dihadapi anak-anak Indonesia, UNICEF telah mengkaji beragam permasalahan penting yang berdampak terhadap kehidupan anak dan pemuda: kemiskinan, pelayanan kesehatan, pendidikan, kekerasan, lingkungan, dan lain-lain.1 Analisis dilakukan terhadap sifat tantangan dan langkah yang telah atau akan diambil pemerintah untuk mengatasinya. Laporan ini juga berupaya merangkum analisis yang kompleks agar dapat bermanfaat untuk pembuat kebijakan, masyarakat sipil, media, dan masyarakat umum—semua pihak yang punya andil terhadap kesejahteraan anak Indonesia dan peran penting untuk memperbaiki kualitas kehidupan mereka.Indonesia telah mencatatkan banyak kemajuan penting dalam beberapa tahun terakhir, namun masih ada tantangan seperti mengeluarkan anak dari kemiskinan dan memperluas akses mereka kepada layanan kesehatan dan pendidikan. Kemajuan pun tidak merata: anak di wilayah perkotaan mengalami kemajuan yang lebih baik dibandingkan anak di perdesaan. Ada pula daerah yang masih tertinggal sementara bangsa ini terus melangkah maju. Anak dan pemuda yang tinggal dalam kemiskinan masih menanggung kondisi yang berat yang kadang-kadang mengancam nyawa dibandingkan dengan populasi secara keseluruhan.","author":[{"dropping-particle":"","family":"UNICEF","given":"","non-dropping-particle":"","parse-names":false,"suffix":""}],"container-title":"Unicef","id":"ITEM-1","issued":{"date-parts":[["2020"]]},"page":"8-38","title":"Situasi Anak di Indonesia - Tren, Peluang, dan Tantangan dalam Memenuhi Hak-hak Anak","type":"article-journal"},"uris":["http://www.mendeley.com/documents/?uuid=e3d7d0cd-b411-44f7-97c1-dee98856d79b"]}],"mendeley":{"formattedCitation":"(UNICEF, 2020)","plainTextFormattedCitation":"(UNICEF, 2020)","previouslyFormattedCitation":"(UNICEF, 2020)"},"properties":{"noteIndex":0},"schema":"https://github.com/citation-style-language/schema/raw/master/csl-citation.json"}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(UNICEF, 2020)</w:t>
      </w:r>
      <w:r w:rsidRPr="00CD65D4">
        <w:rPr>
          <w:rFonts w:ascii="Georgia" w:hAnsi="Georgia"/>
          <w:sz w:val="24"/>
          <w:lang w:val="id-ID"/>
        </w:rPr>
        <w:fldChar w:fldCharType="end"/>
      </w:r>
      <w:r w:rsidRPr="00CD65D4">
        <w:rPr>
          <w:rFonts w:ascii="Georgia" w:hAnsi="Georgia"/>
          <w:sz w:val="24"/>
          <w:lang w:val="id-ID"/>
        </w:rPr>
        <w:t xml:space="preserve">. According to the Ministry of Health's 2020 performance report, the number of stunting cases in South Sulawesi was 34.8% </w:t>
      </w:r>
      <w:r w:rsidRPr="00CD65D4">
        <w:rPr>
          <w:rFonts w:ascii="Georgia" w:hAnsi="Georgia"/>
          <w:sz w:val="24"/>
          <w:lang w:val="id-ID"/>
        </w:rPr>
        <w:fldChar w:fldCharType="begin" w:fldLock="1"/>
      </w:r>
      <w:r w:rsidRPr="00CD65D4">
        <w:rPr>
          <w:rFonts w:ascii="Georgia" w:hAnsi="Georgia"/>
          <w:sz w:val="24"/>
          <w:lang w:val="id-ID"/>
        </w:rPr>
        <w:instrText>ADDIN CSL_CITATION {"citationItems":[{"id":"ITEM-1","itemData":{"author":[{"dropping-particle":"","family":"Kemenkes","given":"","non-dropping-particle":"","parse-names":false,"suffix":""}],"container-title":"Kemenkes","id":"ITEM-1","issued":{"date-parts":[["2021"]]},"page":"1-209","title":"Laporan Kinerja Kementrian Kesehatan Tahun 2020","type":"article-journal"},"uris":["http://www.mendeley.com/documents/?uuid=ad8e8c61-4cc5-4df7-ae22-c55e182f0aa9"]}],"mendeley":{"formattedCitation":"(Kemenkes, 2021)","plainTextFormattedCitation":"(Kemenkes, 2021)","previouslyFormattedCitation":"(Kemenkes, 2021)"},"properties":{"noteIndex":0},"schema":"https://github.com/citation-style-language/schema/raw/master/csl-citation.json"}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(Kemenkes, 2021)</w:t>
      </w:r>
      <w:r w:rsidRPr="00CD65D4">
        <w:rPr>
          <w:rFonts w:ascii="Georgia" w:hAnsi="Georgia"/>
          <w:sz w:val="24"/>
          <w:lang w:val="id-ID"/>
        </w:rPr>
        <w:fldChar w:fldCharType="end"/>
      </w:r>
      <w:r w:rsidRPr="00CD65D4">
        <w:rPr>
          <w:rFonts w:ascii="Georgia" w:hAnsi="Georgia"/>
          <w:sz w:val="24"/>
          <w:lang w:val="id-ID"/>
        </w:rPr>
        <w:t>.</w:t>
      </w:r>
      <w:r w:rsidR="00A02C2C">
        <w:rPr>
          <w:rFonts w:ascii="Georgia" w:hAnsi="Georgia"/>
          <w:sz w:val="24"/>
          <w:lang w:val="id-ID"/>
        </w:rPr>
        <w:t xml:space="preserve"> B</w:t>
      </w:r>
      <w:r w:rsidR="00A02C2C" w:rsidRPr="00A02C2C">
        <w:rPr>
          <w:rFonts w:ascii="Georgia" w:hAnsi="Georgia"/>
          <w:sz w:val="24"/>
          <w:lang w:val="id-ID"/>
        </w:rPr>
        <w:t>ased on the 2019 Central Statistics Agency report, the stunting prevalence in Sidenreng Rappang district was 26.10%</w:t>
      </w:r>
      <w:r w:rsidR="00A02C2C">
        <w:rPr>
          <w:rFonts w:ascii="Georgia" w:hAnsi="Georgia"/>
          <w:sz w:val="24"/>
          <w:lang w:val="id-ID"/>
        </w:rPr>
        <w:t xml:space="preserve"> </w:t>
      </w:r>
      <w:r w:rsidR="00A02C2C">
        <w:rPr>
          <w:rFonts w:ascii="Georgia" w:hAnsi="Georgia"/>
          <w:sz w:val="24"/>
          <w:lang w:val="id-ID"/>
        </w:rPr>
        <w:fldChar w:fldCharType="begin" w:fldLock="1"/>
      </w:r>
      <w:r w:rsidR="0011025F">
        <w:rPr>
          <w:rFonts w:ascii="Georgia" w:hAnsi="Georgia"/>
          <w:sz w:val="24"/>
          <w:lang w:val="id-ID"/>
        </w:rPr>
        <w:instrText>ADDIN CSL_CITATION {"citationItems":[{"id":"ITEM-1","itemData":{"author":[{"dropping-particle":"","family":"Pelaksanaan","given":"Laporan","non-dropping-particle":"","parse-names":false,"suffix":""},{"dropping-particle":"","family":"Susenas","given":"Integrasi","non-dropping-particle":"","parse-names":false,"suffix":""},{"dropping-particle":"","family":"Tahun","given":"Ssgbi","non-dropping-particle":"","parse-names":false,"suffix":""}],"id":"ITEM-1","issued":{"date-parts":[["2019"]]},"title":"LAPORAN PELAKSANAAN INTEGRASI SUSENAS MARET 2019 DAN SSGBI TAHUN 2019","type":"article-journal"},"uris":["http://www.mendeley.com/documents/?uuid=38334ecf-18ba-48be-a2c5-ffd427a6f673"]}],"mendeley":{"formattedCitation":"(Pelaksanaan, Susenas dan Tahun, 2019)","plainTextFormattedCitation":"(Pelaksanaan, Susenas dan Tahun, 2019)","previouslyFormattedCitation":"(Pelaksanaan, Susenas dan Tahun, 2019)"},"properties":{"noteIndex":0},"schema":"https://github.com/citation-style-language/schema/raw/master/csl-citation.json"}</w:instrText>
      </w:r>
      <w:r w:rsidR="00A02C2C">
        <w:rPr>
          <w:rFonts w:ascii="Georgia" w:hAnsi="Georgia"/>
          <w:sz w:val="24"/>
          <w:lang w:val="id-ID"/>
        </w:rPr>
        <w:fldChar w:fldCharType="separate"/>
      </w:r>
      <w:r w:rsidR="00A02C2C" w:rsidRPr="00A02C2C">
        <w:rPr>
          <w:rFonts w:ascii="Georgia" w:hAnsi="Georgia"/>
          <w:sz w:val="24"/>
          <w:lang w:val="id-ID"/>
        </w:rPr>
        <w:t>(Pelaksanaan, Susenas dan Tahun, 2019)</w:t>
      </w:r>
      <w:r w:rsidR="00A02C2C">
        <w:rPr>
          <w:rFonts w:ascii="Georgia" w:hAnsi="Georgia"/>
          <w:sz w:val="24"/>
          <w:lang w:val="id-ID"/>
        </w:rPr>
        <w:fldChar w:fldCharType="end"/>
      </w:r>
      <w:r w:rsidR="00A02C2C" w:rsidRPr="00A02C2C">
        <w:rPr>
          <w:rFonts w:ascii="Georgia" w:hAnsi="Georgia"/>
          <w:sz w:val="24"/>
          <w:lang w:val="id-ID"/>
        </w:rPr>
        <w:t>.</w:t>
      </w:r>
    </w:p>
    <w:p w14:paraId="5381B52E" w14:textId="29786E7E" w:rsidR="00CD65D4" w:rsidRPr="00CD65D4" w:rsidRDefault="00CD65D4" w:rsidP="00CD65D4">
      <w:pPr>
        <w:rPr>
          <w:rFonts w:ascii="Georgia" w:hAnsi="Georgia"/>
          <w:sz w:val="24"/>
          <w:lang w:val="id-ID"/>
        </w:rPr>
      </w:pPr>
      <w:r w:rsidRPr="00CD65D4">
        <w:rPr>
          <w:rFonts w:ascii="Georgia" w:hAnsi="Georgia"/>
          <w:sz w:val="24"/>
          <w:lang w:val="id-ID"/>
        </w:rPr>
        <w:t>Special nutrition intervention efforts for toddlers are focused on the first 1000 days of life (DOL) group, namely pregnant women, breastfeeding mothers, and children 0-23 months because the most effective prevention of growth and development delays occurs in 1000 (DOL)</w:t>
      </w:r>
      <w:r w:rsidR="00323DBF">
        <w:rPr>
          <w:rFonts w:ascii="Georgia" w:hAnsi="Georgia"/>
          <w:sz w:val="24"/>
          <w:lang w:val="id-ID"/>
        </w:rPr>
        <w:t xml:space="preserve"> </w:t>
      </w:r>
      <w:r w:rsidR="00323DBF">
        <w:rPr>
          <w:rFonts w:ascii="Georgia" w:hAnsi="Georgia"/>
          <w:sz w:val="24"/>
          <w:lang w:val="id-ID"/>
        </w:rPr>
        <w:fldChar w:fldCharType="begin" w:fldLock="1"/>
      </w:r>
      <w:r w:rsidR="00323DBF">
        <w:rPr>
          <w:rFonts w:ascii="Georgia" w:hAnsi="Georgia"/>
          <w:sz w:val="24"/>
          <w:lang w:val="id-ID"/>
        </w:rPr>
        <w:instrText>ADDIN CSL_CITATION {"citationItems":[{"id":"ITEM-1","itemData":{"DOI":"10.4081/pmc.2017.157","ISSN":"24207748","PMID":"28673078","abstract":"The latest scientific acquisitions are demonstrating what has already been hypothesized for more than twenty years about the development of the state of health/illness of individuals. Indeed, certain stimuli, if applied to a sensible phase of development, are able to modify, through epigenetic mechanisms, gene expression of DNA, resulting in adaptive modifications of phenotype to the environment, which may reflect negatively on the health of every individual. This concept, applied to nutrition, has opened up important prospects for research in this area. The nutritional history of an individual, linked to the development of a healthy state, would begin very early. In fact, since the pregnancy and for the next two years (for a total of about 1000 days), the maternal eating habits, the type of breastfeeding and then the main stages of nutrition in the evolutionary phase represent those sensitive moments, essential for the development of important endocrine, metabolic, immunological alterations, better known as metabolic syndrome. This condition would represent the physiopathogenetic basis for explaining a series of disorders, known as non communicable diseases (NCDs) such as obesity, diabetes, hypertension, cardiovascolar disease and all those conditions that today affect the health of most industrialized countries and through the years are emerging especially in developing countries (South America, Asia), where new environmental conditions and increased food availability are changing food habits, with far-reaching public health impacts. This paper analyzes these new nutritional perspectives and the main implications of what has been termed the 1000-day theory.","author":[{"dropping-particle":"","family":"Agosti","given":"Massimo","non-dropping-particle":"","parse-names":false,"suffix":""},{"dropping-particle":"","family":"Tandoi","given":"Francesco","non-dropping-particle":"","parse-names":false,"suffix":""},{"dropping-particle":"","family":"Morlacchi","given":"Laura","non-dropping-particle":"","parse-names":false,"suffix":""},{"dropping-particle":"","family":"Bossi","given":"Angela","non-dropping-particle":"","parse-names":false,"suffix":""}],"container-title":"La Pediatria medica e chirurgica : Medical and surgical pediatrics","id":"ITEM-1","issue":"2","issued":{"date-parts":[["2017"]]},"page":"157","title":"Nutritional and metabolic programming during the first thousand days of life","type":"article-journal","volume":"39"},"uris":["http://www.mendeley.com/documents/?uuid=fd6da6d9-c31d-44f6-ba47-c73546b3758b"]}],"mendeley":{"formattedCitation":"(Agosti &lt;i&gt;et al.&lt;/i&gt;, 2017)","plainTextFormattedCitation":"(Agosti et al., 2017)","previouslyFormattedCitation":"(Agosti &lt;i&gt;et al.&lt;/i&gt;, 2017)"},"properties":{"noteIndex":0},"schema":"https://github.com/citation-style-language/schema/raw/master/csl-citation.json"}</w:instrText>
      </w:r>
      <w:r w:rsidR="00323DBF">
        <w:rPr>
          <w:rFonts w:ascii="Georgia" w:hAnsi="Georgia"/>
          <w:sz w:val="24"/>
          <w:lang w:val="id-ID"/>
        </w:rPr>
        <w:fldChar w:fldCharType="separate"/>
      </w:r>
      <w:r w:rsidR="00323DBF" w:rsidRPr="00323DBF">
        <w:rPr>
          <w:rFonts w:ascii="Georgia" w:hAnsi="Georgia"/>
          <w:sz w:val="24"/>
          <w:lang w:val="id-ID"/>
        </w:rPr>
        <w:t xml:space="preserve">(Agosti </w:t>
      </w:r>
      <w:r w:rsidR="00323DBF" w:rsidRPr="00323DBF">
        <w:rPr>
          <w:rFonts w:ascii="Georgia" w:hAnsi="Georgia"/>
          <w:i/>
          <w:sz w:val="24"/>
          <w:lang w:val="id-ID"/>
        </w:rPr>
        <w:t>et al.</w:t>
      </w:r>
      <w:r w:rsidR="00323DBF" w:rsidRPr="00323DBF">
        <w:rPr>
          <w:rFonts w:ascii="Georgia" w:hAnsi="Georgia"/>
          <w:sz w:val="24"/>
          <w:lang w:val="id-ID"/>
        </w:rPr>
        <w:t>, 2017)</w:t>
      </w:r>
      <w:r w:rsidR="00323DBF">
        <w:rPr>
          <w:rFonts w:ascii="Georgia" w:hAnsi="Georgia"/>
          <w:sz w:val="24"/>
          <w:lang w:val="id-ID"/>
        </w:rPr>
        <w:fldChar w:fldCharType="end"/>
      </w:r>
      <w:r w:rsidRPr="00CD65D4">
        <w:rPr>
          <w:rFonts w:ascii="Georgia" w:hAnsi="Georgia"/>
          <w:sz w:val="24"/>
          <w:lang w:val="id-ID"/>
        </w:rPr>
        <w:t>. Negative Results Possible impacts Nutritional problems in the short term are disorders of brain development, intelligence, growth disorders, and metabolic disorders of the body. In the long term, the dire consequences are cognitive decline and learning, decreased immunity leading to illness, and a high risk of diabetes, obesity, cardiovascular disease, cancer, stroke, and disability in old age and uncompetitive quality. Work causes low economic productivity. The 1000 DOL period is 270 days during pregnancy and 730 days when the baby is born for the first time</w:t>
      </w:r>
      <w:r w:rsidRPr="00CD65D4">
        <w:rPr>
          <w:rFonts w:ascii="Georgia" w:hAnsi="Georgia"/>
          <w:sz w:val="24"/>
          <w:lang w:val="id-ID"/>
        </w:rPr>
        <w:fldChar w:fldCharType="begin" w:fldLock="1"/>
      </w:r>
      <w:r>
        <w:rPr>
          <w:rFonts w:ascii="Georgia" w:hAnsi="Georgia"/>
          <w:sz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RI","given":"","non-dropping-particle":"","parse-names":false,"suffix":""}],"container-title":"Kementerian Kesehatan RI","id":"ITEM-1","issue":"5","issued":{"date-parts":[["2018"]]},"page":"1163-1178","title":"Buletin Stunting","type":"article-journal","volume":"301"},"uris":["http://www.mendeley.com/documents/?uuid=19bd1465-23c5-47be-adc3-856e511b6b56"]}],"mendeley":{"formattedCitation":"(Kemenkes RI, 2018)","plainTextFormattedCitation":"(Kemenkes RI, 2018)","previouslyFormattedCitation":"(Kemenkes RI, 2018)"},"properties":{"noteIndex":0},"schema":"https://github.com/citation-style-language/schema/raw/master/csl-citation.json"}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(Kemenkes RI, 2018)</w:t>
      </w:r>
      <w:r w:rsidRPr="00CD65D4">
        <w:rPr>
          <w:rFonts w:ascii="Georgia" w:hAnsi="Georgia"/>
          <w:sz w:val="24"/>
          <w:lang w:val="id-ID"/>
        </w:rPr>
        <w:fldChar w:fldCharType="end"/>
      </w:r>
      <w:r w:rsidRPr="00CD65D4">
        <w:rPr>
          <w:rFonts w:ascii="Georgia" w:hAnsi="Georgia"/>
          <w:sz w:val="24"/>
          <w:lang w:val="id-ID"/>
        </w:rPr>
        <w:t>. A recent longitudinal study of children from Brazil, Guatemala, the Philippines, India, and South Africa showed that growth retardation was associated with early school dropout, with adults stunting under 2 years, a year earlier than those who did not grow retardation</w:t>
      </w:r>
      <w:r w:rsidRPr="00CD65D4">
        <w:rPr>
          <w:rFonts w:ascii="Georgia" w:hAnsi="Georgia"/>
          <w:sz w:val="24"/>
          <w:lang w:val="id-ID"/>
        </w:rPr>
        <w:fldChar w:fldCharType="begin" w:fldLock="1"/>
      </w:r>
      <w:r>
        <w:rPr>
          <w:rFonts w:ascii="Georgia" w:hAnsi="Georgia"/>
          <w:sz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RI","given":"","non-dropping-particle":"","parse-names":false,"suffix":""}],"container-title":"Kementerian Kesehatan RI","id":"ITEM-1","issue":"5","issued":{"date-parts":[["2018"]]},"page":"1163-1178","title":"Buletin Stunting","type":"article-journal","volume":"301"},"uris":["http://www.mendeley.com/documents/?uuid=19bd1465-23c5-47be-adc3-856e511b6b56"]}],"mendeley":{"formattedCitation":"(Kemenkes RI, 2018)","plainTextFormattedCitation":"(Kemenkes RI, 2018)","previouslyFormattedCitation":"(Kemenkes RI, 2018)"},"properties":{"noteIndex":0},"schema":"https://github.com/citation-style-language/schema/raw/master/csl-citation.json"}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(Kemenkes RI, 2018)</w:t>
      </w:r>
      <w:r w:rsidRPr="00CD65D4">
        <w:rPr>
          <w:rFonts w:ascii="Georgia" w:hAnsi="Georgia"/>
          <w:sz w:val="24"/>
          <w:lang w:val="id-ID"/>
        </w:rPr>
        <w:fldChar w:fldCharType="end"/>
      </w:r>
      <w:r w:rsidRPr="00CD65D4">
        <w:rPr>
          <w:rFonts w:ascii="Georgia" w:hAnsi="Georgia"/>
          <w:sz w:val="24"/>
          <w:lang w:val="id-ID"/>
        </w:rPr>
        <w:t>. Chronic malnutrition (stunting) is not caused by one factor alone but is caused by many factors, where these factors are interrelated. Three main factors cause growth retardation, namely</w:t>
      </w:r>
      <w:r w:rsidR="00323DBF">
        <w:rPr>
          <w:rFonts w:ascii="Georgia" w:hAnsi="Georgia"/>
          <w:sz w:val="24"/>
          <w:lang w:val="id-ID"/>
        </w:rPr>
        <w:t xml:space="preserve"> </w:t>
      </w:r>
      <w:r w:rsidR="00323DBF">
        <w:rPr>
          <w:rFonts w:ascii="Georgia" w:hAnsi="Georgia"/>
          <w:sz w:val="24"/>
          <w:lang w:val="id-ID"/>
        </w:rPr>
        <w:fldChar w:fldCharType="begin" w:fldLock="1"/>
      </w:r>
      <w:r w:rsidR="00323DBF">
        <w:rPr>
          <w:rFonts w:ascii="Georgia" w:hAnsi="Georgia"/>
          <w:sz w:val="24"/>
          <w:lang w:val="id-ID"/>
        </w:rPr>
        <w:instrText>ADDIN CSL_CITATION {"citationItems":[{"id":"ITEM-1","itemData":{"DOI":"10.1016/j.immuni.2017.11.018","ISSN":"10974180","PMID":"29262349","abstract":"Natural killer (NK) cells are present in large populations at the maternal-fetal interface during early pregnancy. However, the role of NK cells in fetal growth is unclear. Here, we have identified a CD49a+Eomes+ subset of NK cells that secreted growth-promoting factors (GPFs), including pleiotrophin and osteoglycin, in both humans and mice. The crosstalk between HLA-G and ILT2 served as a stimulus for GPF-secreting function of this NK cell subset. Decreases in this GPF-secreting NK cell subset impaired fetal development, resulting in fetal growth restriction. The transcription factor Nfil3, but not T-bet, affected the function and the number of this decidual NK cell subset. Adoptive transfer of induced CD49a+Eomes+ NK cells reversed impaired fetal growth and rebuilt an appropriate local microenvironment. These findings reveal properties of NK cells in promoting fetal growth. In addition, this research proposes approaches for therapeutic administration of NK cells in order to reverse restricted nourishments within the uterine microenvironment during early pregnancy. Maternal nourishment of the fetus at early stage has remained undefined. Fu et al. identify CD49a+Eomes+ trNK cells in the uterus that secrete growth-promoting factors enhancing fetal growth during critical early stages of fetal development.","author":[{"dropping-particle":"","family":"Fu","given":"Binqing","non-dropping-particle":"","parse-names":false,"suffix":""},{"dropping-particle":"","family":"Zhou","given":"Yonggang","non-dropping-particle":"","parse-names":false,"suffix":""},{"dropping-particle":"","family":"Ni","given":"Xiang","non-dropping-particle":"","parse-names":false,"suffix":""},{"dropping-particle":"","family":"Tong","given":"Xianhong","non-dropping-particle":"","parse-names":false,"suffix":""},{"dropping-particle":"","family":"Xu","given":"Xiuxiu","non-dropping-particle":"","parse-names":false,"suffix":""},{"dropping-particle":"","family":"Dong","given":"Zhongjun","non-dropping-particle":"","parse-names":false,"suffix":""},{"dropping-particle":"","family":"Sun","given":"Rui","non-dropping-particle":"","parse-names":false,"suffix":""},{"dropping-particle":"","family":"Tian","given":"Zhigang","non-dropping-particle":"","parse-names":false,"suffix":""},{"dropping-particle":"","family":"Wei","given":"Haiming","non-dropping-particle":"","parse-names":false,"suffix":""}],"container-title":"Immunity","id":"ITEM-1","issue":"6","issued":{"date-parts":[["2017"]]},"page":"1100-1113.e6","publisher":"Elsevier Inc.","title":"Natural Killer Cells Promote Fetal Development through the Secretion of Growth-Promoting Factors","type":"article-journal","volume":"47"},"uris":["http://www.mendeley.com/documents/?uuid=fab35cb4-c468-4401-84ff-e08cddf539ad"]}],"mendeley":{"formattedCitation":"(Fu &lt;i&gt;et al.&lt;/i&gt;, 2017)","plainTextFormattedCitation":"(Fu et al., 2017)","previouslyFormattedCitation":"(Fu &lt;i&gt;et al.&lt;/i&gt;, 2017)"},"properties":{"noteIndex":0},"schema":"https://github.com/citation-style-language/schema/raw/master/csl-citation.json"}</w:instrText>
      </w:r>
      <w:r w:rsidR="00323DBF">
        <w:rPr>
          <w:rFonts w:ascii="Georgia" w:hAnsi="Georgia"/>
          <w:sz w:val="24"/>
          <w:lang w:val="id-ID"/>
        </w:rPr>
        <w:fldChar w:fldCharType="separate"/>
      </w:r>
      <w:r w:rsidR="00323DBF" w:rsidRPr="00323DBF">
        <w:rPr>
          <w:rFonts w:ascii="Georgia" w:hAnsi="Georgia"/>
          <w:sz w:val="24"/>
          <w:lang w:val="id-ID"/>
        </w:rPr>
        <w:t xml:space="preserve">(Fu </w:t>
      </w:r>
      <w:r w:rsidR="00323DBF" w:rsidRPr="00323DBF">
        <w:rPr>
          <w:rFonts w:ascii="Georgia" w:hAnsi="Georgia"/>
          <w:i/>
          <w:sz w:val="24"/>
          <w:lang w:val="id-ID"/>
        </w:rPr>
        <w:t>et al.</w:t>
      </w:r>
      <w:r w:rsidR="00323DBF" w:rsidRPr="00323DBF">
        <w:rPr>
          <w:rFonts w:ascii="Georgia" w:hAnsi="Georgia"/>
          <w:sz w:val="24"/>
          <w:lang w:val="id-ID"/>
        </w:rPr>
        <w:t>, 2017)</w:t>
      </w:r>
      <w:r w:rsidR="00323DBF">
        <w:rPr>
          <w:rFonts w:ascii="Georgia" w:hAnsi="Georgia"/>
          <w:sz w:val="24"/>
          <w:lang w:val="id-ID"/>
        </w:rPr>
        <w:fldChar w:fldCharType="end"/>
      </w:r>
      <w:r w:rsidRPr="00CD65D4">
        <w:rPr>
          <w:rFonts w:ascii="Georgia" w:hAnsi="Georgia"/>
          <w:sz w:val="24"/>
          <w:lang w:val="id-ID"/>
        </w:rPr>
        <w:t>: 1) imbalanced food intake (based on the nutrient content in the diet namely carbohydrates, proteins, fats, minerals, vitamins, and water), 2) past low birth weight (LBW) and 3) medical. In general, the causes of growth retardation can be divided into 3 levels, namely community, household (family), individual level. At the city level, the economic system, the education system, the health and sanitation system, and the drinking water system are factors that cause stunted growth. Household (family) level, namely H. Inadequate food quality and quantity, income level, number and structure of family members, inadequate child care, inadequate health care, and inadequate sanitation and drinking water are factors that cause stunted growth. These factors occur because of the p-factor.</w:t>
      </w:r>
    </w:p>
    <w:p w14:paraId="76B0E8A1" w14:textId="77777777" w:rsidR="00B827F5" w:rsidRDefault="00B827F5" w:rsidP="00FA1785">
      <w:pPr>
        <w:pStyle w:val="Yeti"/>
        <w:jc w:val="both"/>
        <w:rPr>
          <w:lang w:val="en-US"/>
        </w:rPr>
      </w:pPr>
    </w:p>
    <w:p w14:paraId="7BD94CF7" w14:textId="77777777" w:rsidR="00DB162F" w:rsidRDefault="00DB162F" w:rsidP="00FA1785">
      <w:pPr>
        <w:spacing w:before="0"/>
        <w:rPr>
          <w:rFonts w:ascii="Georgia" w:hAnsi="Georgia"/>
          <w:b/>
          <w:sz w:val="24"/>
        </w:rPr>
      </w:pPr>
      <w:r>
        <w:rPr>
          <w:rFonts w:ascii="Georgia" w:hAnsi="Georgia"/>
          <w:b/>
          <w:sz w:val="24"/>
        </w:rPr>
        <w:t>SUBJECTS AND METHOD</w:t>
      </w:r>
    </w:p>
    <w:p w14:paraId="5A6A8FE6" w14:textId="77777777"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Study Design</w:t>
      </w:r>
    </w:p>
    <w:p w14:paraId="441C72A8" w14:textId="5F29B8FE" w:rsidR="00F86F52" w:rsidRPr="00A02C2C" w:rsidRDefault="00A02C2C" w:rsidP="00F86F52">
      <w:pPr>
        <w:pStyle w:val="Yeti"/>
        <w:tabs>
          <w:tab w:val="right" w:leader="dot" w:pos="9639"/>
        </w:tabs>
        <w:jc w:val="both"/>
        <w:rPr>
          <w:lang w:val="en-US"/>
        </w:rPr>
      </w:pPr>
      <w:r w:rsidRPr="00A02C2C">
        <w:t xml:space="preserve">The research design used </w:t>
      </w:r>
      <w:r>
        <w:t>was</w:t>
      </w:r>
      <w:r w:rsidRPr="00A02C2C">
        <w:t xml:space="preserve"> an observational study with an epidemiological design, namely a case-control study</w:t>
      </w:r>
      <w:r>
        <w:t xml:space="preserve">. </w:t>
      </w:r>
      <w:r w:rsidRPr="00A02C2C">
        <w:t>This research was carried out in Sidenreng Rappang Regency in 2021</w:t>
      </w:r>
      <w:r>
        <w:t>.</w:t>
      </w:r>
      <w:r w:rsidR="00B53916">
        <w:t xml:space="preserve"> </w:t>
      </w:r>
    </w:p>
    <w:p w14:paraId="12677871" w14:textId="77777777"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Population and Sample</w:t>
      </w:r>
    </w:p>
    <w:p w14:paraId="6297A381" w14:textId="51A17C73" w:rsidR="00B53916" w:rsidRPr="005541D6" w:rsidRDefault="001712F8" w:rsidP="00060636">
      <w:pPr>
        <w:pStyle w:val="Yeti"/>
        <w:jc w:val="both"/>
      </w:pPr>
      <w:r w:rsidRPr="001712F8">
        <w:rPr>
          <w:lang w:val="en-US"/>
        </w:rPr>
        <w:t>The target population in this study was all stunting toddlers in the Sidenreng Rappang district based on data from the 2019 statistical agency report.</w:t>
      </w:r>
      <w:r w:rsidR="005541D6">
        <w:t xml:space="preserve"> </w:t>
      </w:r>
      <w:r w:rsidR="0011025F">
        <w:t>The s</w:t>
      </w:r>
      <w:r w:rsidR="0011025F" w:rsidRPr="0011025F">
        <w:t>ample selection technique is simple random sampling</w:t>
      </w:r>
      <w:r w:rsidR="0011025F">
        <w:t xml:space="preserve">. </w:t>
      </w:r>
      <w:r w:rsidR="005541D6" w:rsidRPr="005541D6">
        <w:t>The withdrawal of the number of control samples in this study used the Lemeshow formula (1997). The number of case samples obtained was 51 respondents so that the control sample was also 51 people and the total sample used was 102 respondents.</w:t>
      </w:r>
    </w:p>
    <w:p w14:paraId="6AAD0D9F" w14:textId="0A21D0AD" w:rsidR="00BB5BAD" w:rsidRDefault="00BB5BAD" w:rsidP="00BB5BAD">
      <w:pPr>
        <w:pStyle w:val="Yeti"/>
        <w:tabs>
          <w:tab w:val="right" w:leader="dot" w:pos="9639"/>
        </w:tabs>
        <w:jc w:val="both"/>
        <w:rPr>
          <w:lang w:val="en-US"/>
        </w:rPr>
      </w:pPr>
    </w:p>
    <w:p w14:paraId="0BF079F0" w14:textId="77777777"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Study Variables</w:t>
      </w:r>
    </w:p>
    <w:p w14:paraId="573915A0" w14:textId="78A14CD0" w:rsidR="00F86F52" w:rsidRDefault="0011025F" w:rsidP="00F86F52">
      <w:pPr>
        <w:pStyle w:val="Yeti"/>
        <w:tabs>
          <w:tab w:val="right" w:leader="dot" w:pos="9639"/>
        </w:tabs>
        <w:jc w:val="both"/>
        <w:rPr>
          <w:lang w:val="en-US"/>
        </w:rPr>
      </w:pPr>
      <w:r w:rsidRPr="0011025F">
        <w:rPr>
          <w:lang w:val="en-US"/>
        </w:rPr>
        <w:t>The independent variable in this study is stunting and the dependent variable is family characteristics consisting of maternal education and household members and health history consisting of a history of low birth weight and a history of infectious diseases.</w:t>
      </w:r>
    </w:p>
    <w:p w14:paraId="5F0CC1C5" w14:textId="77777777" w:rsidR="0011025F" w:rsidRDefault="0011025F" w:rsidP="00F86F52">
      <w:pPr>
        <w:pStyle w:val="Yeti"/>
        <w:tabs>
          <w:tab w:val="right" w:leader="dot" w:pos="9639"/>
        </w:tabs>
        <w:jc w:val="both"/>
        <w:rPr>
          <w:lang w:val="en-US"/>
        </w:rPr>
      </w:pPr>
    </w:p>
    <w:p w14:paraId="43FF7783" w14:textId="77777777" w:rsidR="00DB162F" w:rsidRDefault="008013F5" w:rsidP="0075284E">
      <w:pPr>
        <w:pStyle w:val="ListParagraph"/>
        <w:numPr>
          <w:ilvl w:val="0"/>
          <w:numId w:val="1"/>
        </w:numPr>
        <w:spacing w:before="0"/>
        <w:ind w:left="284" w:hanging="284"/>
        <w:rPr>
          <w:rFonts w:ascii="Georgia" w:hAnsi="Georgia"/>
          <w:b/>
          <w:sz w:val="24"/>
        </w:rPr>
      </w:pPr>
      <w:r>
        <w:rPr>
          <w:rFonts w:ascii="Georgia" w:hAnsi="Georgia"/>
          <w:b/>
          <w:sz w:val="24"/>
        </w:rPr>
        <w:t xml:space="preserve">Operational </w:t>
      </w:r>
      <w:r w:rsidR="00DB162F">
        <w:rPr>
          <w:rFonts w:ascii="Georgia" w:hAnsi="Georgia"/>
          <w:b/>
          <w:sz w:val="24"/>
        </w:rPr>
        <w:t>Definition of Variables</w:t>
      </w:r>
    </w:p>
    <w:p w14:paraId="68498495" w14:textId="14F36E2A" w:rsidR="0011025F" w:rsidRDefault="0011025F" w:rsidP="008013F5">
      <w:pPr>
        <w:pStyle w:val="Yeti"/>
        <w:jc w:val="both"/>
        <w:rPr>
          <w:lang w:val="en-ID"/>
        </w:rPr>
      </w:pPr>
      <w:r>
        <w:t>S</w:t>
      </w:r>
      <w:r w:rsidRPr="0011025F">
        <w:rPr>
          <w:lang w:val="en-ID"/>
        </w:rPr>
        <w:t>tunting in this study is a condition experienced by toddlers when height measurements show at &lt;=-2.0 height-for-age z-score. Maternal education is the level of formal education the mother has taken and received a graduation certificate. Household members in this study are the number of individuals who live permanently in one house. A history of LBW is a toddler's weight at birth below 2500 grams. The history of infection means that the toddler has been exposed to an infectious disease.</w:t>
      </w:r>
    </w:p>
    <w:p w14:paraId="59D5EC57" w14:textId="77777777" w:rsidR="0011025F" w:rsidRDefault="0011025F" w:rsidP="008013F5">
      <w:pPr>
        <w:pStyle w:val="Yeti"/>
        <w:jc w:val="both"/>
        <w:rPr>
          <w:lang w:val="en-ID"/>
        </w:rPr>
      </w:pPr>
    </w:p>
    <w:p w14:paraId="4591F60E" w14:textId="77777777" w:rsidR="00DB162F" w:rsidRPr="008823CC" w:rsidRDefault="00DB162F" w:rsidP="0075284E">
      <w:pPr>
        <w:pStyle w:val="ListParagraph"/>
        <w:numPr>
          <w:ilvl w:val="0"/>
          <w:numId w:val="1"/>
        </w:numPr>
        <w:spacing w:before="0"/>
        <w:ind w:left="284" w:hanging="284"/>
        <w:rPr>
          <w:rFonts w:ascii="Georgia" w:hAnsi="Georgia"/>
          <w:b/>
          <w:sz w:val="24"/>
        </w:rPr>
      </w:pPr>
      <w:r w:rsidRPr="008823CC">
        <w:rPr>
          <w:rFonts w:ascii="Georgia" w:hAnsi="Georgia"/>
          <w:b/>
          <w:sz w:val="24"/>
        </w:rPr>
        <w:t>Study Instruments</w:t>
      </w:r>
    </w:p>
    <w:p w14:paraId="4F4B8C0A" w14:textId="45C80174" w:rsidR="008013F5" w:rsidRDefault="0011025F" w:rsidP="00A25AA6">
      <w:pPr>
        <w:pStyle w:val="Yeti"/>
        <w:jc w:val="both"/>
        <w:rPr>
          <w:lang w:val="en-US"/>
        </w:rPr>
      </w:pPr>
      <w:r w:rsidRPr="0011025F">
        <w:rPr>
          <w:lang w:val="en-US"/>
        </w:rPr>
        <w:t xml:space="preserve">The instruments used in this study were questionnaires and observation sheets. Stunting data and history of LBW were obtained based on records of </w:t>
      </w:r>
      <w:r>
        <w:t>P</w:t>
      </w:r>
      <w:r w:rsidRPr="0011025F">
        <w:rPr>
          <w:lang w:val="en-US"/>
        </w:rPr>
        <w:t>osyandu activities. Mother's education data is taken based on the mother's information as evidenced by a graduation certificate. Data on household members and history of infection are recorded based on the results of observations and information from respondents.</w:t>
      </w:r>
    </w:p>
    <w:p w14:paraId="20482C8F" w14:textId="77777777" w:rsidR="0048527F" w:rsidRPr="00A25AA6" w:rsidRDefault="0048527F" w:rsidP="00A25AA6">
      <w:pPr>
        <w:pStyle w:val="Yeti"/>
        <w:jc w:val="both"/>
        <w:rPr>
          <w:lang w:val="en-US"/>
        </w:rPr>
      </w:pPr>
    </w:p>
    <w:p w14:paraId="0BE22406" w14:textId="77777777" w:rsidR="00DB162F" w:rsidRPr="00CB118F" w:rsidRDefault="00DB162F" w:rsidP="0075284E">
      <w:pPr>
        <w:pStyle w:val="ListParagraph"/>
        <w:numPr>
          <w:ilvl w:val="0"/>
          <w:numId w:val="1"/>
        </w:numPr>
        <w:spacing w:before="0"/>
        <w:ind w:left="284" w:hanging="284"/>
        <w:rPr>
          <w:rFonts w:ascii="Georgia" w:hAnsi="Georgia"/>
          <w:b/>
          <w:sz w:val="24"/>
        </w:rPr>
      </w:pPr>
      <w:r w:rsidRPr="00CB118F">
        <w:rPr>
          <w:rFonts w:ascii="Georgia" w:hAnsi="Georgia"/>
          <w:b/>
          <w:sz w:val="24"/>
        </w:rPr>
        <w:t>Data analysis</w:t>
      </w:r>
    </w:p>
    <w:p w14:paraId="06BE1903" w14:textId="0D4ADF53" w:rsidR="0048527F" w:rsidRDefault="0011025F" w:rsidP="0011025F">
      <w:pPr>
        <w:pStyle w:val="Yeti"/>
        <w:jc w:val="both"/>
        <w:rPr>
          <w:lang w:val="en-ID"/>
        </w:rPr>
      </w:pPr>
      <w:r w:rsidRPr="0011025F">
        <w:rPr>
          <w:lang w:val="en-ID"/>
        </w:rPr>
        <w:t xml:space="preserve">The statistical test used to see the effect of the dependent variable on the independent is the chi-square </w:t>
      </w:r>
      <w:r>
        <w:t xml:space="preserve">test </w:t>
      </w:r>
      <w:r w:rsidRPr="0011025F">
        <w:rPr>
          <w:lang w:val="en-ID"/>
        </w:rPr>
        <w:t>with a significance level of &lt;0.05. while the statistical test of logistic regression was used to test the risk factors.</w:t>
      </w:r>
    </w:p>
    <w:p w14:paraId="6E38703B" w14:textId="77777777" w:rsidR="0011025F" w:rsidRPr="0048527F" w:rsidRDefault="0011025F" w:rsidP="0011025F">
      <w:pPr>
        <w:pStyle w:val="Yeti"/>
        <w:jc w:val="both"/>
        <w:rPr>
          <w:lang w:val="en-ID"/>
        </w:rPr>
      </w:pPr>
    </w:p>
    <w:p w14:paraId="45D234D2" w14:textId="77777777" w:rsidR="00DB162F" w:rsidRPr="008823CC" w:rsidRDefault="00DB162F" w:rsidP="0075284E">
      <w:pPr>
        <w:pStyle w:val="ListParagraph"/>
        <w:numPr>
          <w:ilvl w:val="0"/>
          <w:numId w:val="1"/>
        </w:numPr>
        <w:spacing w:before="0"/>
        <w:ind w:left="284" w:hanging="284"/>
        <w:rPr>
          <w:rFonts w:ascii="Georgia" w:hAnsi="Georgia"/>
          <w:b/>
          <w:sz w:val="24"/>
        </w:rPr>
      </w:pPr>
      <w:r w:rsidRPr="008823CC">
        <w:rPr>
          <w:rFonts w:ascii="Georgia" w:hAnsi="Georgia"/>
          <w:b/>
          <w:sz w:val="24"/>
        </w:rPr>
        <w:t>Research Ethics</w:t>
      </w:r>
    </w:p>
    <w:p w14:paraId="128E0439" w14:textId="539C3573" w:rsidR="00137560" w:rsidRDefault="00C13507" w:rsidP="00FA1785">
      <w:pPr>
        <w:spacing w:before="0"/>
        <w:rPr>
          <w:rFonts w:ascii="Georgia" w:hAnsi="Georgia"/>
          <w:sz w:val="24"/>
        </w:rPr>
      </w:pPr>
      <w:r>
        <w:rPr>
          <w:rFonts w:ascii="Georgia" w:hAnsi="Georgia"/>
          <w:sz w:val="24"/>
        </w:rPr>
        <w:t>Research ethical</w:t>
      </w:r>
      <w:r w:rsidRPr="00137560">
        <w:rPr>
          <w:rFonts w:ascii="Georgia" w:hAnsi="Georgia"/>
          <w:sz w:val="24"/>
        </w:rPr>
        <w:t xml:space="preserve"> issues </w:t>
      </w:r>
      <w:r>
        <w:rPr>
          <w:rFonts w:ascii="Georgia" w:hAnsi="Georgia"/>
          <w:sz w:val="24"/>
        </w:rPr>
        <w:t>including</w:t>
      </w:r>
      <w:r w:rsidRPr="00137560">
        <w:rPr>
          <w:rFonts w:ascii="Georgia" w:hAnsi="Georgia"/>
          <w:sz w:val="24"/>
        </w:rPr>
        <w:t xml:space="preserve"> informed consent, anonymity, </w:t>
      </w:r>
      <w:r>
        <w:rPr>
          <w:rFonts w:ascii="Georgia" w:hAnsi="Georgia"/>
          <w:sz w:val="24"/>
        </w:rPr>
        <w:t xml:space="preserve">and </w:t>
      </w:r>
      <w:r w:rsidRPr="00137560">
        <w:rPr>
          <w:rFonts w:ascii="Georgia" w:hAnsi="Georgia"/>
          <w:sz w:val="24"/>
        </w:rPr>
        <w:t>confiden</w:t>
      </w:r>
      <w:r>
        <w:rPr>
          <w:rFonts w:ascii="Georgia" w:hAnsi="Georgia"/>
          <w:sz w:val="24"/>
        </w:rPr>
        <w:t xml:space="preserve">tiality, were addressed carefully during the study process. </w:t>
      </w:r>
    </w:p>
    <w:p w14:paraId="6D44C8CF" w14:textId="77777777" w:rsidR="008823CC" w:rsidRPr="00137560" w:rsidRDefault="008823CC" w:rsidP="00FA1785">
      <w:pPr>
        <w:spacing w:before="0"/>
        <w:rPr>
          <w:rFonts w:ascii="Georgia" w:hAnsi="Georgia"/>
          <w:sz w:val="24"/>
        </w:rPr>
      </w:pPr>
    </w:p>
    <w:p w14:paraId="02D89FB2" w14:textId="77777777" w:rsidR="00DB162F" w:rsidRDefault="00DB162F" w:rsidP="00FA1785">
      <w:pPr>
        <w:spacing w:before="0"/>
        <w:rPr>
          <w:rFonts w:ascii="Georgia" w:hAnsi="Georgia"/>
          <w:b/>
          <w:sz w:val="24"/>
        </w:rPr>
      </w:pPr>
      <w:r>
        <w:rPr>
          <w:rFonts w:ascii="Georgia" w:hAnsi="Georgia"/>
          <w:b/>
          <w:sz w:val="24"/>
        </w:rPr>
        <w:t>RESULTS</w:t>
      </w:r>
    </w:p>
    <w:p w14:paraId="4B7311C2" w14:textId="77777777" w:rsidR="00972F73" w:rsidRPr="00972F73" w:rsidRDefault="00972F73" w:rsidP="00FA1785">
      <w:pPr>
        <w:pStyle w:val="Yeti"/>
        <w:numPr>
          <w:ilvl w:val="0"/>
          <w:numId w:val="5"/>
        </w:numPr>
        <w:ind w:left="284" w:hanging="284"/>
        <w:jc w:val="both"/>
        <w:rPr>
          <w:b/>
          <w:lang w:val="en-US"/>
        </w:rPr>
      </w:pPr>
      <w:r w:rsidRPr="00972F73">
        <w:rPr>
          <w:b/>
          <w:lang w:val="en-US"/>
        </w:rPr>
        <w:t>Sample Characteristics</w:t>
      </w:r>
    </w:p>
    <w:p w14:paraId="3C08FBE2" w14:textId="77777777" w:rsidR="00CD65D4" w:rsidRPr="00CD65D4" w:rsidRDefault="00CD65D4" w:rsidP="00CD65D4">
      <w:pPr>
        <w:spacing w:before="0"/>
        <w:rPr>
          <w:rFonts w:ascii="Georgia" w:hAnsi="Georgia"/>
          <w:b/>
          <w:bCs/>
          <w:sz w:val="24"/>
          <w:lang w:val="id-ID"/>
        </w:rPr>
      </w:pPr>
      <w:r w:rsidRPr="00CD65D4">
        <w:rPr>
          <w:rFonts w:ascii="Georgia" w:hAnsi="Georgia"/>
          <w:b/>
          <w:bCs/>
          <w:sz w:val="24"/>
          <w:lang w:val="id-ID"/>
        </w:rPr>
        <w:t>Table 1. Frequencies of toddlers based on family characteristics and history of infection</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195"/>
        <w:gridCol w:w="3119"/>
      </w:tblGrid>
      <w:tr w:rsidR="00CD65D4" w:rsidRPr="00CD65D4" w14:paraId="73250741" w14:textId="77777777" w:rsidTr="00CD65D4">
        <w:tc>
          <w:tcPr>
            <w:tcW w:w="3005" w:type="dxa"/>
            <w:vMerge w:val="restart"/>
            <w:tcBorders>
              <w:top w:val="single" w:sz="4" w:space="0" w:color="auto"/>
              <w:bottom w:val="nil"/>
            </w:tcBorders>
            <w:vAlign w:val="center"/>
          </w:tcPr>
          <w:p w14:paraId="3FB3EDAF" w14:textId="77777777" w:rsidR="00CD65D4" w:rsidRPr="00CD65D4" w:rsidRDefault="00CD65D4" w:rsidP="00CD65D4">
            <w:pPr>
              <w:jc w:val="center"/>
              <w:rPr>
                <w:rFonts w:ascii="Georgia" w:hAnsi="Georgia"/>
                <w:sz w:val="24"/>
                <w:lang w:val="id-ID"/>
              </w:rPr>
            </w:pPr>
            <w:r w:rsidRPr="00CD65D4">
              <w:rPr>
                <w:rFonts w:ascii="Georgia" w:hAnsi="Georgia"/>
                <w:sz w:val="24"/>
                <w:lang w:val="id-ID"/>
              </w:rPr>
              <w:t>Variables</w:t>
            </w:r>
          </w:p>
        </w:tc>
        <w:tc>
          <w:tcPr>
            <w:tcW w:w="5314" w:type="dxa"/>
            <w:gridSpan w:val="2"/>
            <w:tcBorders>
              <w:top w:val="single" w:sz="4" w:space="0" w:color="auto"/>
              <w:bottom w:val="nil"/>
            </w:tcBorders>
            <w:vAlign w:val="center"/>
          </w:tcPr>
          <w:p w14:paraId="74B23195" w14:textId="77777777" w:rsidR="00CD65D4" w:rsidRPr="00CD65D4" w:rsidRDefault="00CD65D4" w:rsidP="00CD65D4">
            <w:pPr>
              <w:jc w:val="center"/>
              <w:rPr>
                <w:rFonts w:ascii="Georgia" w:hAnsi="Georgia"/>
                <w:sz w:val="24"/>
                <w:lang w:val="id-ID"/>
              </w:rPr>
            </w:pPr>
            <w:r w:rsidRPr="00CD65D4">
              <w:rPr>
                <w:rFonts w:ascii="Georgia" w:hAnsi="Georgia"/>
                <w:sz w:val="24"/>
                <w:lang w:val="id-ID"/>
              </w:rPr>
              <w:t>n = 102</w:t>
            </w:r>
          </w:p>
        </w:tc>
      </w:tr>
      <w:tr w:rsidR="00CD65D4" w:rsidRPr="00CD65D4" w14:paraId="4E1E8DA5" w14:textId="77777777" w:rsidTr="00CD65D4">
        <w:tc>
          <w:tcPr>
            <w:tcW w:w="3005" w:type="dxa"/>
            <w:vMerge/>
            <w:tcBorders>
              <w:top w:val="nil"/>
              <w:bottom w:val="single" w:sz="4" w:space="0" w:color="auto"/>
            </w:tcBorders>
          </w:tcPr>
          <w:p w14:paraId="6E9438A1" w14:textId="77777777" w:rsidR="00CD65D4" w:rsidRPr="00CD65D4" w:rsidRDefault="00CD65D4" w:rsidP="00CD65D4">
            <w:pPr>
              <w:rPr>
                <w:rFonts w:ascii="Georgia" w:hAnsi="Georgia"/>
                <w:sz w:val="24"/>
                <w:lang w:val="id-ID"/>
              </w:rPr>
            </w:pPr>
          </w:p>
        </w:tc>
        <w:tc>
          <w:tcPr>
            <w:tcW w:w="2195" w:type="dxa"/>
            <w:tcBorders>
              <w:top w:val="nil"/>
              <w:bottom w:val="single" w:sz="4" w:space="0" w:color="auto"/>
            </w:tcBorders>
            <w:vAlign w:val="center"/>
          </w:tcPr>
          <w:p w14:paraId="474D679B" w14:textId="77777777" w:rsidR="00CD65D4" w:rsidRPr="00CD65D4" w:rsidRDefault="00CD65D4" w:rsidP="00CD65D4">
            <w:pPr>
              <w:jc w:val="center"/>
              <w:rPr>
                <w:rFonts w:ascii="Georgia" w:hAnsi="Georgia"/>
                <w:sz w:val="24"/>
                <w:lang w:val="id-ID"/>
              </w:rPr>
            </w:pPr>
            <w:r w:rsidRPr="00CD65D4">
              <w:rPr>
                <w:rFonts w:ascii="Georgia" w:hAnsi="Georgia"/>
                <w:sz w:val="24"/>
                <w:lang w:val="id-ID"/>
              </w:rPr>
              <w:t>n</w:t>
            </w:r>
          </w:p>
        </w:tc>
        <w:tc>
          <w:tcPr>
            <w:tcW w:w="3119" w:type="dxa"/>
            <w:tcBorders>
              <w:top w:val="nil"/>
              <w:bottom w:val="single" w:sz="4" w:space="0" w:color="auto"/>
            </w:tcBorders>
            <w:vAlign w:val="center"/>
          </w:tcPr>
          <w:p w14:paraId="7F8C8D88" w14:textId="77777777" w:rsidR="00CD65D4" w:rsidRPr="00CD65D4" w:rsidRDefault="00CD65D4" w:rsidP="00CD65D4">
            <w:pPr>
              <w:jc w:val="center"/>
              <w:rPr>
                <w:rFonts w:ascii="Georgia" w:hAnsi="Georgia"/>
                <w:sz w:val="24"/>
                <w:lang w:val="id-ID"/>
              </w:rPr>
            </w:pPr>
            <w:r w:rsidRPr="00CD65D4">
              <w:rPr>
                <w:rFonts w:ascii="Georgia" w:hAnsi="Georgia"/>
                <w:sz w:val="24"/>
                <w:lang w:val="id-ID"/>
              </w:rPr>
              <w:t>%</w:t>
            </w:r>
          </w:p>
        </w:tc>
      </w:tr>
      <w:tr w:rsidR="00CD65D4" w:rsidRPr="00CD65D4" w14:paraId="07F3836A" w14:textId="77777777" w:rsidTr="00CD65D4">
        <w:tc>
          <w:tcPr>
            <w:tcW w:w="3005" w:type="dxa"/>
            <w:tcBorders>
              <w:top w:val="single" w:sz="4" w:space="0" w:color="auto"/>
            </w:tcBorders>
          </w:tcPr>
          <w:p w14:paraId="052CDADF" w14:textId="77777777" w:rsidR="00CD65D4" w:rsidRPr="00CD65D4" w:rsidRDefault="00CD65D4" w:rsidP="00CD65D4">
            <w:pPr>
              <w:rPr>
                <w:rFonts w:ascii="Georgia" w:hAnsi="Georgia"/>
                <w:b/>
                <w:bCs/>
                <w:sz w:val="24"/>
                <w:lang w:val="id-ID"/>
              </w:rPr>
            </w:pPr>
            <w:r w:rsidRPr="00CD65D4">
              <w:rPr>
                <w:rFonts w:ascii="Georgia" w:hAnsi="Georgia"/>
                <w:b/>
                <w:bCs/>
                <w:sz w:val="24"/>
                <w:lang w:val="id-ID"/>
              </w:rPr>
              <w:lastRenderedPageBreak/>
              <w:t>Mother's education</w:t>
            </w:r>
          </w:p>
          <w:p w14:paraId="24D54E04" w14:textId="77777777" w:rsidR="00CD65D4" w:rsidRPr="00CD65D4" w:rsidRDefault="00CD65D4" w:rsidP="00CD65D4">
            <w:pPr>
              <w:ind w:left="317"/>
              <w:rPr>
                <w:rFonts w:ascii="Georgia" w:hAnsi="Georgia"/>
                <w:sz w:val="24"/>
                <w:lang w:val="id-ID"/>
              </w:rPr>
            </w:pPr>
            <w:r w:rsidRPr="00CD65D4">
              <w:rPr>
                <w:rFonts w:ascii="Georgia" w:hAnsi="Georgia"/>
                <w:sz w:val="24"/>
                <w:lang w:val="id-ID"/>
              </w:rPr>
              <w:t>Low</w:t>
            </w:r>
          </w:p>
          <w:p w14:paraId="261EC15A" w14:textId="77777777" w:rsidR="00CD65D4" w:rsidRPr="00CD65D4" w:rsidRDefault="00CD65D4" w:rsidP="00CD65D4">
            <w:pPr>
              <w:ind w:left="317"/>
              <w:rPr>
                <w:rFonts w:ascii="Georgia" w:hAnsi="Georgia"/>
                <w:sz w:val="24"/>
                <w:lang w:val="id-ID"/>
              </w:rPr>
            </w:pPr>
            <w:r w:rsidRPr="00CD65D4">
              <w:rPr>
                <w:rFonts w:ascii="Georgia" w:hAnsi="Georgia"/>
                <w:sz w:val="24"/>
                <w:lang w:val="id-ID"/>
              </w:rPr>
              <w:t>High</w:t>
            </w:r>
          </w:p>
          <w:p w14:paraId="04EC61A1" w14:textId="77777777" w:rsidR="00CD65D4" w:rsidRPr="00CD65D4" w:rsidRDefault="00CD65D4" w:rsidP="00CD65D4">
            <w:pPr>
              <w:rPr>
                <w:rFonts w:ascii="Georgia" w:hAnsi="Georgia"/>
                <w:b/>
                <w:bCs/>
                <w:sz w:val="24"/>
                <w:lang w:val="id-ID"/>
              </w:rPr>
            </w:pPr>
            <w:r w:rsidRPr="00CD65D4">
              <w:rPr>
                <w:rFonts w:ascii="Georgia" w:hAnsi="Georgia"/>
                <w:b/>
                <w:bCs/>
                <w:sz w:val="24"/>
                <w:lang w:val="id-ID"/>
              </w:rPr>
              <w:t>Household member</w:t>
            </w:r>
          </w:p>
          <w:p w14:paraId="7B6A1F59" w14:textId="77777777" w:rsidR="00CD65D4" w:rsidRPr="00CD65D4" w:rsidRDefault="00CD65D4" w:rsidP="00CD65D4">
            <w:pPr>
              <w:ind w:left="317"/>
              <w:rPr>
                <w:rFonts w:ascii="Georgia" w:hAnsi="Georgia"/>
                <w:sz w:val="24"/>
                <w:lang w:val="id-ID"/>
              </w:rPr>
            </w:pPr>
            <w:r w:rsidRPr="00CD65D4">
              <w:rPr>
                <w:rFonts w:ascii="Georgia" w:hAnsi="Georgia"/>
                <w:sz w:val="24"/>
                <w:lang w:val="id-ID"/>
              </w:rPr>
              <w:t>more than 4</w:t>
            </w:r>
          </w:p>
          <w:p w14:paraId="31418C93" w14:textId="77777777" w:rsidR="00CD65D4" w:rsidRPr="00CD65D4" w:rsidRDefault="00CD65D4" w:rsidP="00CD65D4">
            <w:pPr>
              <w:ind w:left="317"/>
              <w:rPr>
                <w:rFonts w:ascii="Georgia" w:hAnsi="Georgia"/>
                <w:sz w:val="24"/>
                <w:lang w:val="id-ID"/>
              </w:rPr>
            </w:pPr>
            <w:r w:rsidRPr="00CD65D4">
              <w:rPr>
                <w:rFonts w:ascii="Georgia" w:hAnsi="Georgia"/>
                <w:sz w:val="24"/>
                <w:lang w:val="id-ID"/>
              </w:rPr>
              <w:t>4 or less</w:t>
            </w:r>
          </w:p>
          <w:p w14:paraId="3ABAA4F7" w14:textId="77777777" w:rsidR="00CD65D4" w:rsidRPr="00CD65D4" w:rsidRDefault="00CD65D4" w:rsidP="00CD65D4">
            <w:pPr>
              <w:rPr>
                <w:rFonts w:ascii="Georgia" w:hAnsi="Georgia"/>
                <w:b/>
                <w:bCs/>
                <w:sz w:val="24"/>
                <w:lang w:val="id-ID"/>
              </w:rPr>
            </w:pPr>
            <w:r w:rsidRPr="00CD65D4">
              <w:rPr>
                <w:rFonts w:ascii="Georgia" w:hAnsi="Georgia"/>
                <w:b/>
                <w:bCs/>
                <w:sz w:val="24"/>
                <w:lang w:val="id-ID"/>
              </w:rPr>
              <w:t>Low birth weight</w:t>
            </w:r>
          </w:p>
          <w:p w14:paraId="25576F19" w14:textId="77777777" w:rsidR="00CD65D4" w:rsidRPr="00CD65D4" w:rsidRDefault="00CD65D4" w:rsidP="00CD65D4">
            <w:pPr>
              <w:ind w:left="317"/>
              <w:rPr>
                <w:rFonts w:ascii="Georgia" w:hAnsi="Georgia"/>
                <w:sz w:val="24"/>
                <w:lang w:val="id-ID"/>
              </w:rPr>
            </w:pPr>
            <w:r w:rsidRPr="00CD65D4">
              <w:rPr>
                <w:rFonts w:ascii="Georgia" w:hAnsi="Georgia"/>
                <w:sz w:val="24"/>
                <w:lang w:val="id-ID"/>
              </w:rPr>
              <w:t>LBW</w:t>
            </w:r>
          </w:p>
          <w:p w14:paraId="264DE3FB" w14:textId="77777777" w:rsidR="00CD65D4" w:rsidRPr="00CD65D4" w:rsidRDefault="00CD65D4" w:rsidP="00CD65D4">
            <w:pPr>
              <w:ind w:left="317"/>
              <w:rPr>
                <w:rFonts w:ascii="Georgia" w:hAnsi="Georgia"/>
                <w:sz w:val="24"/>
                <w:lang w:val="id-ID"/>
              </w:rPr>
            </w:pPr>
            <w:r w:rsidRPr="00CD65D4">
              <w:rPr>
                <w:rFonts w:ascii="Georgia" w:hAnsi="Georgia"/>
                <w:sz w:val="24"/>
                <w:lang w:val="id-ID"/>
              </w:rPr>
              <w:t>Normal</w:t>
            </w:r>
          </w:p>
          <w:p w14:paraId="152FDC1E" w14:textId="77777777" w:rsidR="00CD65D4" w:rsidRPr="00CD65D4" w:rsidRDefault="00CD65D4" w:rsidP="00CD65D4">
            <w:pPr>
              <w:rPr>
                <w:rFonts w:ascii="Georgia" w:hAnsi="Georgia"/>
                <w:b/>
                <w:bCs/>
                <w:sz w:val="24"/>
                <w:lang w:val="id-ID"/>
              </w:rPr>
            </w:pPr>
            <w:r w:rsidRPr="00CD65D4">
              <w:rPr>
                <w:rFonts w:ascii="Georgia" w:hAnsi="Georgia"/>
                <w:b/>
                <w:bCs/>
                <w:sz w:val="24"/>
                <w:lang w:val="id-ID"/>
              </w:rPr>
              <w:t>History of Infection</w:t>
            </w:r>
          </w:p>
          <w:p w14:paraId="681C2CC2" w14:textId="77777777" w:rsidR="00CD65D4" w:rsidRPr="00CD65D4" w:rsidRDefault="00CD65D4" w:rsidP="00CD65D4">
            <w:pPr>
              <w:ind w:left="317"/>
              <w:rPr>
                <w:rFonts w:ascii="Georgia" w:hAnsi="Georgia"/>
                <w:sz w:val="24"/>
                <w:lang w:val="id-ID"/>
              </w:rPr>
            </w:pPr>
            <w:r w:rsidRPr="00CD65D4">
              <w:rPr>
                <w:rFonts w:ascii="Georgia" w:hAnsi="Georgia"/>
                <w:sz w:val="24"/>
                <w:lang w:val="id-ID"/>
              </w:rPr>
              <w:t>Yes</w:t>
            </w:r>
          </w:p>
          <w:p w14:paraId="1BEE01B8" w14:textId="77777777" w:rsidR="00CD65D4" w:rsidRPr="00CD65D4" w:rsidRDefault="00CD65D4" w:rsidP="00CD65D4">
            <w:pPr>
              <w:ind w:left="317"/>
              <w:rPr>
                <w:rFonts w:ascii="Georgia" w:hAnsi="Georgia"/>
                <w:sz w:val="24"/>
                <w:lang w:val="id-ID"/>
              </w:rPr>
            </w:pPr>
            <w:r w:rsidRPr="00CD65D4">
              <w:rPr>
                <w:rFonts w:ascii="Georgia" w:hAnsi="Georgia"/>
                <w:sz w:val="24"/>
                <w:lang w:val="id-ID"/>
              </w:rPr>
              <w:t>No</w:t>
            </w:r>
          </w:p>
        </w:tc>
        <w:tc>
          <w:tcPr>
            <w:tcW w:w="2195" w:type="dxa"/>
            <w:tcBorders>
              <w:top w:val="single" w:sz="4" w:space="0" w:color="auto"/>
            </w:tcBorders>
          </w:tcPr>
          <w:p w14:paraId="14C4B142" w14:textId="77777777" w:rsidR="00CD65D4" w:rsidRPr="00CD65D4" w:rsidRDefault="00CD65D4" w:rsidP="00CD65D4">
            <w:pPr>
              <w:rPr>
                <w:rFonts w:ascii="Georgia" w:hAnsi="Georgia"/>
                <w:sz w:val="24"/>
                <w:lang w:val="id-ID"/>
              </w:rPr>
            </w:pPr>
          </w:p>
          <w:p w14:paraId="58D0FA68" w14:textId="77777777" w:rsidR="00CD65D4" w:rsidRPr="00CD65D4" w:rsidRDefault="00CD65D4" w:rsidP="00CD65D4">
            <w:pPr>
              <w:jc w:val="center"/>
              <w:rPr>
                <w:rFonts w:ascii="Georgia" w:hAnsi="Georgia"/>
                <w:sz w:val="24"/>
                <w:lang w:val="id-ID"/>
              </w:rPr>
            </w:pPr>
            <w:r w:rsidRPr="00CD65D4">
              <w:rPr>
                <w:rFonts w:ascii="Georgia" w:hAnsi="Georgia"/>
                <w:sz w:val="24"/>
                <w:lang w:val="id-ID"/>
              </w:rPr>
              <w:t>36</w:t>
            </w:r>
          </w:p>
          <w:p w14:paraId="642341EB" w14:textId="77777777" w:rsidR="00CD65D4" w:rsidRPr="00CD65D4" w:rsidRDefault="00CD65D4" w:rsidP="00CD65D4">
            <w:pPr>
              <w:jc w:val="center"/>
              <w:rPr>
                <w:rFonts w:ascii="Georgia" w:hAnsi="Georgia"/>
                <w:sz w:val="24"/>
                <w:lang w:val="id-ID"/>
              </w:rPr>
            </w:pPr>
            <w:r w:rsidRPr="00CD65D4">
              <w:rPr>
                <w:rFonts w:ascii="Georgia" w:hAnsi="Georgia"/>
                <w:sz w:val="24"/>
                <w:lang w:val="id-ID"/>
              </w:rPr>
              <w:t>66</w:t>
            </w:r>
          </w:p>
          <w:p w14:paraId="37A4C1EB" w14:textId="77777777" w:rsidR="00CD65D4" w:rsidRPr="00CD65D4" w:rsidRDefault="00CD65D4" w:rsidP="00CD65D4">
            <w:pPr>
              <w:jc w:val="center"/>
              <w:rPr>
                <w:rFonts w:ascii="Georgia" w:hAnsi="Georgia"/>
                <w:sz w:val="24"/>
                <w:lang w:val="id-ID"/>
              </w:rPr>
            </w:pPr>
          </w:p>
          <w:p w14:paraId="46B01D47" w14:textId="77777777" w:rsidR="00CD65D4" w:rsidRPr="00CD65D4" w:rsidRDefault="00CD65D4" w:rsidP="00CD65D4">
            <w:pPr>
              <w:jc w:val="center"/>
              <w:rPr>
                <w:rFonts w:ascii="Georgia" w:hAnsi="Georgia"/>
                <w:sz w:val="24"/>
                <w:lang w:val="id-ID"/>
              </w:rPr>
            </w:pPr>
            <w:r w:rsidRPr="00CD65D4">
              <w:rPr>
                <w:rFonts w:ascii="Georgia" w:hAnsi="Georgia"/>
                <w:sz w:val="24"/>
                <w:lang w:val="id-ID"/>
              </w:rPr>
              <w:t>85</w:t>
            </w:r>
          </w:p>
          <w:p w14:paraId="6D5FFC84" w14:textId="77777777" w:rsidR="00CD65D4" w:rsidRPr="00CD65D4" w:rsidRDefault="00CD65D4" w:rsidP="00CD65D4">
            <w:pPr>
              <w:jc w:val="center"/>
              <w:rPr>
                <w:rFonts w:ascii="Georgia" w:hAnsi="Georgia"/>
                <w:sz w:val="24"/>
                <w:lang w:val="id-ID"/>
              </w:rPr>
            </w:pPr>
            <w:r w:rsidRPr="00CD65D4">
              <w:rPr>
                <w:rFonts w:ascii="Georgia" w:hAnsi="Georgia"/>
                <w:sz w:val="24"/>
                <w:lang w:val="id-ID"/>
              </w:rPr>
              <w:t>17</w:t>
            </w:r>
          </w:p>
          <w:p w14:paraId="166737FC" w14:textId="77777777" w:rsidR="00CD65D4" w:rsidRPr="00CD65D4" w:rsidRDefault="00CD65D4" w:rsidP="00CD65D4">
            <w:pPr>
              <w:jc w:val="center"/>
              <w:rPr>
                <w:rFonts w:ascii="Georgia" w:hAnsi="Georgia"/>
                <w:sz w:val="24"/>
                <w:lang w:val="id-ID"/>
              </w:rPr>
            </w:pPr>
          </w:p>
          <w:p w14:paraId="10DB84E8" w14:textId="77777777" w:rsidR="00CD65D4" w:rsidRPr="00CD65D4" w:rsidRDefault="00CD65D4" w:rsidP="00CD65D4">
            <w:pPr>
              <w:jc w:val="center"/>
              <w:rPr>
                <w:rFonts w:ascii="Georgia" w:hAnsi="Georgia"/>
                <w:sz w:val="24"/>
                <w:lang w:val="id-ID"/>
              </w:rPr>
            </w:pPr>
            <w:r w:rsidRPr="00CD65D4">
              <w:rPr>
                <w:rFonts w:ascii="Georgia" w:hAnsi="Georgia"/>
                <w:sz w:val="24"/>
                <w:lang w:val="id-ID"/>
              </w:rPr>
              <w:t>28</w:t>
            </w:r>
          </w:p>
          <w:p w14:paraId="50868143" w14:textId="77777777" w:rsidR="00CD65D4" w:rsidRPr="00CD65D4" w:rsidRDefault="00CD65D4" w:rsidP="00CD65D4">
            <w:pPr>
              <w:jc w:val="center"/>
              <w:rPr>
                <w:rFonts w:ascii="Georgia" w:hAnsi="Georgia"/>
                <w:sz w:val="24"/>
                <w:lang w:val="id-ID"/>
              </w:rPr>
            </w:pPr>
            <w:r w:rsidRPr="00CD65D4">
              <w:rPr>
                <w:rFonts w:ascii="Georgia" w:hAnsi="Georgia"/>
                <w:sz w:val="24"/>
                <w:lang w:val="id-ID"/>
              </w:rPr>
              <w:t>74</w:t>
            </w:r>
          </w:p>
          <w:p w14:paraId="5319BE08" w14:textId="77777777" w:rsidR="00CD65D4" w:rsidRPr="00CD65D4" w:rsidRDefault="00CD65D4" w:rsidP="00CD65D4">
            <w:pPr>
              <w:jc w:val="center"/>
              <w:rPr>
                <w:rFonts w:ascii="Georgia" w:hAnsi="Georgia"/>
                <w:sz w:val="24"/>
                <w:lang w:val="id-ID"/>
              </w:rPr>
            </w:pPr>
          </w:p>
          <w:p w14:paraId="1D9C18D1" w14:textId="77777777" w:rsidR="00CD65D4" w:rsidRPr="00CD65D4" w:rsidRDefault="00CD65D4" w:rsidP="00CD65D4">
            <w:pPr>
              <w:jc w:val="center"/>
              <w:rPr>
                <w:rFonts w:ascii="Georgia" w:hAnsi="Georgia"/>
                <w:sz w:val="24"/>
                <w:lang w:val="id-ID"/>
              </w:rPr>
            </w:pPr>
            <w:r w:rsidRPr="00CD65D4">
              <w:rPr>
                <w:rFonts w:ascii="Georgia" w:hAnsi="Georgia"/>
                <w:sz w:val="24"/>
                <w:lang w:val="id-ID"/>
              </w:rPr>
              <w:t>41</w:t>
            </w:r>
          </w:p>
          <w:p w14:paraId="0870D096" w14:textId="77777777" w:rsidR="00CD65D4" w:rsidRPr="00CD65D4" w:rsidRDefault="00CD65D4" w:rsidP="00CD65D4">
            <w:pPr>
              <w:jc w:val="center"/>
              <w:rPr>
                <w:rFonts w:ascii="Georgia" w:hAnsi="Georgia"/>
                <w:sz w:val="24"/>
                <w:lang w:val="id-ID"/>
              </w:rPr>
            </w:pPr>
            <w:r w:rsidRPr="00CD65D4">
              <w:rPr>
                <w:rFonts w:ascii="Georgia" w:hAnsi="Georgia"/>
                <w:sz w:val="24"/>
                <w:lang w:val="id-ID"/>
              </w:rPr>
              <w:t>61</w:t>
            </w:r>
          </w:p>
        </w:tc>
        <w:tc>
          <w:tcPr>
            <w:tcW w:w="3119" w:type="dxa"/>
            <w:tcBorders>
              <w:top w:val="single" w:sz="4" w:space="0" w:color="auto"/>
            </w:tcBorders>
          </w:tcPr>
          <w:p w14:paraId="6AFEC8FB" w14:textId="77777777" w:rsidR="00CD65D4" w:rsidRPr="00CD65D4" w:rsidRDefault="00CD65D4" w:rsidP="00CD65D4">
            <w:pPr>
              <w:jc w:val="center"/>
              <w:rPr>
                <w:rFonts w:ascii="Georgia" w:hAnsi="Georgia"/>
                <w:sz w:val="24"/>
                <w:lang w:val="id-ID"/>
              </w:rPr>
            </w:pPr>
          </w:p>
          <w:p w14:paraId="4B7131C1" w14:textId="77777777" w:rsidR="00CD65D4" w:rsidRPr="00CD65D4" w:rsidRDefault="00CD65D4" w:rsidP="00CD65D4">
            <w:pPr>
              <w:jc w:val="center"/>
              <w:rPr>
                <w:rFonts w:ascii="Georgia" w:hAnsi="Georgia"/>
                <w:sz w:val="24"/>
                <w:lang w:val="id-ID"/>
              </w:rPr>
            </w:pPr>
            <w:r w:rsidRPr="00CD65D4">
              <w:rPr>
                <w:rFonts w:ascii="Georgia" w:hAnsi="Georgia"/>
                <w:sz w:val="24"/>
                <w:lang w:val="id-ID"/>
              </w:rPr>
              <w:t>35.3</w:t>
            </w:r>
          </w:p>
          <w:p w14:paraId="508E9A98" w14:textId="77777777" w:rsidR="00CD65D4" w:rsidRPr="00CD65D4" w:rsidRDefault="00CD65D4" w:rsidP="00CD65D4">
            <w:pPr>
              <w:jc w:val="center"/>
              <w:rPr>
                <w:rFonts w:ascii="Georgia" w:hAnsi="Georgia"/>
                <w:sz w:val="24"/>
                <w:lang w:val="id-ID"/>
              </w:rPr>
            </w:pPr>
            <w:r w:rsidRPr="00CD65D4">
              <w:rPr>
                <w:rFonts w:ascii="Georgia" w:hAnsi="Georgia"/>
                <w:sz w:val="24"/>
                <w:lang w:val="id-ID"/>
              </w:rPr>
              <w:t>64.7</w:t>
            </w:r>
          </w:p>
          <w:p w14:paraId="09CD9F20" w14:textId="77777777" w:rsidR="00CD65D4" w:rsidRPr="00CD65D4" w:rsidRDefault="00CD65D4" w:rsidP="00CD65D4">
            <w:pPr>
              <w:jc w:val="center"/>
              <w:rPr>
                <w:rFonts w:ascii="Georgia" w:hAnsi="Georgia"/>
                <w:sz w:val="24"/>
                <w:lang w:val="id-ID"/>
              </w:rPr>
            </w:pPr>
          </w:p>
          <w:p w14:paraId="305E434D" w14:textId="77777777" w:rsidR="00CD65D4" w:rsidRPr="00CD65D4" w:rsidRDefault="00CD65D4" w:rsidP="00CD65D4">
            <w:pPr>
              <w:jc w:val="center"/>
              <w:rPr>
                <w:rFonts w:ascii="Georgia" w:hAnsi="Georgia"/>
                <w:sz w:val="24"/>
                <w:lang w:val="id-ID"/>
              </w:rPr>
            </w:pPr>
            <w:r w:rsidRPr="00CD65D4">
              <w:rPr>
                <w:rFonts w:ascii="Georgia" w:hAnsi="Georgia"/>
                <w:sz w:val="24"/>
                <w:lang w:val="id-ID"/>
              </w:rPr>
              <w:t>83.3</w:t>
            </w:r>
          </w:p>
          <w:p w14:paraId="2B48AF0D" w14:textId="77777777" w:rsidR="00CD65D4" w:rsidRPr="00CD65D4" w:rsidRDefault="00CD65D4" w:rsidP="00CD65D4">
            <w:pPr>
              <w:jc w:val="center"/>
              <w:rPr>
                <w:rFonts w:ascii="Georgia" w:hAnsi="Georgia"/>
                <w:sz w:val="24"/>
                <w:lang w:val="id-ID"/>
              </w:rPr>
            </w:pPr>
            <w:r w:rsidRPr="00CD65D4">
              <w:rPr>
                <w:rFonts w:ascii="Georgia" w:hAnsi="Georgia"/>
                <w:sz w:val="24"/>
                <w:lang w:val="id-ID"/>
              </w:rPr>
              <w:t>16.7</w:t>
            </w:r>
          </w:p>
          <w:p w14:paraId="1E70438A" w14:textId="77777777" w:rsidR="00CD65D4" w:rsidRPr="00CD65D4" w:rsidRDefault="00CD65D4" w:rsidP="00CD65D4">
            <w:pPr>
              <w:jc w:val="center"/>
              <w:rPr>
                <w:rFonts w:ascii="Georgia" w:hAnsi="Georgia"/>
                <w:sz w:val="24"/>
                <w:lang w:val="id-ID"/>
              </w:rPr>
            </w:pPr>
          </w:p>
          <w:p w14:paraId="53DBD95A" w14:textId="77777777" w:rsidR="00CD65D4" w:rsidRPr="00CD65D4" w:rsidRDefault="00CD65D4" w:rsidP="00CD65D4">
            <w:pPr>
              <w:jc w:val="center"/>
              <w:rPr>
                <w:rFonts w:ascii="Georgia" w:hAnsi="Georgia"/>
                <w:sz w:val="24"/>
                <w:lang w:val="id-ID"/>
              </w:rPr>
            </w:pPr>
            <w:r w:rsidRPr="00CD65D4">
              <w:rPr>
                <w:rFonts w:ascii="Georgia" w:hAnsi="Georgia"/>
                <w:sz w:val="24"/>
                <w:lang w:val="id-ID"/>
              </w:rPr>
              <w:t>27.5</w:t>
            </w:r>
          </w:p>
          <w:p w14:paraId="342E31D4" w14:textId="77777777" w:rsidR="00CD65D4" w:rsidRPr="00CD65D4" w:rsidRDefault="00CD65D4" w:rsidP="00CD65D4">
            <w:pPr>
              <w:jc w:val="center"/>
              <w:rPr>
                <w:rFonts w:ascii="Georgia" w:hAnsi="Georgia"/>
                <w:sz w:val="24"/>
                <w:lang w:val="id-ID"/>
              </w:rPr>
            </w:pPr>
            <w:r w:rsidRPr="00CD65D4">
              <w:rPr>
                <w:rFonts w:ascii="Georgia" w:hAnsi="Georgia"/>
                <w:sz w:val="24"/>
                <w:lang w:val="id-ID"/>
              </w:rPr>
              <w:t>72.5</w:t>
            </w:r>
          </w:p>
          <w:p w14:paraId="6B3A6D93" w14:textId="77777777" w:rsidR="00CD65D4" w:rsidRPr="00CD65D4" w:rsidRDefault="00CD65D4" w:rsidP="00CD65D4">
            <w:pPr>
              <w:jc w:val="center"/>
              <w:rPr>
                <w:rFonts w:ascii="Georgia" w:hAnsi="Georgia"/>
                <w:sz w:val="24"/>
                <w:lang w:val="id-ID"/>
              </w:rPr>
            </w:pPr>
          </w:p>
          <w:p w14:paraId="3B8A9F42" w14:textId="77777777" w:rsidR="00CD65D4" w:rsidRPr="00CD65D4" w:rsidRDefault="00CD65D4" w:rsidP="00CD65D4">
            <w:pPr>
              <w:jc w:val="center"/>
              <w:rPr>
                <w:rFonts w:ascii="Georgia" w:hAnsi="Georgia"/>
                <w:sz w:val="24"/>
                <w:lang w:val="id-ID"/>
              </w:rPr>
            </w:pPr>
            <w:r w:rsidRPr="00CD65D4">
              <w:rPr>
                <w:rFonts w:ascii="Georgia" w:hAnsi="Georgia"/>
                <w:sz w:val="24"/>
                <w:lang w:val="id-ID"/>
              </w:rPr>
              <w:t>40.2</w:t>
            </w:r>
          </w:p>
          <w:p w14:paraId="500C6E62" w14:textId="77777777" w:rsidR="00CD65D4" w:rsidRPr="00CD65D4" w:rsidRDefault="00CD65D4" w:rsidP="00CD65D4">
            <w:pPr>
              <w:jc w:val="center"/>
              <w:rPr>
                <w:rFonts w:ascii="Georgia" w:hAnsi="Georgia"/>
                <w:sz w:val="24"/>
                <w:lang w:val="id-ID"/>
              </w:rPr>
            </w:pPr>
            <w:r w:rsidRPr="00CD65D4">
              <w:rPr>
                <w:rFonts w:ascii="Georgia" w:hAnsi="Georgia"/>
                <w:sz w:val="24"/>
                <w:lang w:val="id-ID"/>
              </w:rPr>
              <w:t>59,8</w:t>
            </w:r>
          </w:p>
        </w:tc>
      </w:tr>
    </w:tbl>
    <w:p w14:paraId="3F5B94B9" w14:textId="2ABB56FE" w:rsidR="00CD65D4" w:rsidRPr="0011025F" w:rsidRDefault="00CD65D4" w:rsidP="00CD65D4">
      <w:pPr>
        <w:spacing w:before="240"/>
        <w:rPr>
          <w:rFonts w:ascii="Georgia" w:hAnsi="Georgia"/>
          <w:sz w:val="24"/>
          <w:lang w:val="id-ID"/>
        </w:rPr>
      </w:pPr>
      <w:r w:rsidRPr="0011025F">
        <w:rPr>
          <w:rFonts w:ascii="Georgia" w:hAnsi="Georgia"/>
          <w:sz w:val="24"/>
          <w:lang w:val="id-ID"/>
        </w:rPr>
        <w:t>Table 1 shows the results of this study indicate that of the 102 respondents, there are 36 respondents (35.3%) with low education and 66 respondents (64.7%) with high education. Based on the number of household members, 85 respondents (83.3%) were more than 4 people and 17 respondents (16.7%) were 4 or fewer. There are 28 respondents (27.5%) who have a history of low birth weight and 74 respondents (72.5%) who were born with normal weight. Based on the history of infectious diseases, there were 41 respondents (40.2%) who had been exposed to infectious diseases and 61 respondents (59.8%) who did not.</w:t>
      </w:r>
    </w:p>
    <w:p w14:paraId="70051C6C" w14:textId="77777777" w:rsidR="0011025F" w:rsidRPr="00CD65D4" w:rsidRDefault="0011025F" w:rsidP="00CD65D4">
      <w:pPr>
        <w:spacing w:before="240"/>
        <w:rPr>
          <w:rFonts w:ascii="Times New Roman" w:hAnsi="Times New Roman"/>
          <w:sz w:val="24"/>
          <w:lang w:val="id-ID"/>
        </w:rPr>
      </w:pPr>
    </w:p>
    <w:p w14:paraId="559F7CF6" w14:textId="65E5E3A8" w:rsidR="00B445D5" w:rsidRPr="005060B9" w:rsidRDefault="005060B9" w:rsidP="00FA1785">
      <w:pPr>
        <w:pStyle w:val="Yeti"/>
        <w:numPr>
          <w:ilvl w:val="0"/>
          <w:numId w:val="5"/>
        </w:numPr>
        <w:ind w:left="284" w:hanging="284"/>
        <w:jc w:val="both"/>
        <w:rPr>
          <w:b/>
          <w:lang w:val="en-US"/>
        </w:rPr>
      </w:pPr>
      <w:r w:rsidRPr="005060B9">
        <w:rPr>
          <w:b/>
          <w:lang w:val="en-US"/>
        </w:rPr>
        <w:t>Bivariate Analysis</w:t>
      </w:r>
    </w:p>
    <w:p w14:paraId="32153198" w14:textId="499E1A0B" w:rsidR="00CD65D4" w:rsidRPr="00CD65D4" w:rsidRDefault="00CD65D4" w:rsidP="00CD65D4">
      <w:pPr>
        <w:spacing w:before="0"/>
        <w:rPr>
          <w:rFonts w:ascii="Georgia" w:hAnsi="Georgia"/>
          <w:b/>
          <w:bCs/>
          <w:sz w:val="24"/>
          <w:szCs w:val="24"/>
          <w:lang w:val="id-ID"/>
        </w:rPr>
      </w:pPr>
      <w:r w:rsidRPr="00CD65D4">
        <w:rPr>
          <w:rFonts w:ascii="Georgia" w:hAnsi="Georgia"/>
          <w:b/>
          <w:bCs/>
          <w:sz w:val="24"/>
          <w:szCs w:val="24"/>
          <w:lang w:val="id-ID"/>
        </w:rPr>
        <w:t>Table 2. Correlation analysis of influencing factors on stunting</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87"/>
        <w:gridCol w:w="990"/>
        <w:gridCol w:w="993"/>
        <w:gridCol w:w="992"/>
        <w:gridCol w:w="992"/>
        <w:gridCol w:w="870"/>
        <w:gridCol w:w="1842"/>
      </w:tblGrid>
      <w:tr w:rsidR="00CD65D4" w:rsidRPr="00CD65D4" w14:paraId="51F5FC71" w14:textId="77777777" w:rsidTr="00CD65D4">
        <w:tc>
          <w:tcPr>
            <w:tcW w:w="3087" w:type="dxa"/>
            <w:vMerge w:val="restart"/>
            <w:tcBorders>
              <w:top w:val="single" w:sz="4" w:space="0" w:color="auto"/>
              <w:left w:val="nil"/>
              <w:bottom w:val="single" w:sz="4" w:space="0" w:color="auto"/>
            </w:tcBorders>
            <w:vAlign w:val="center"/>
          </w:tcPr>
          <w:p w14:paraId="721C575A"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Variables</w:t>
            </w:r>
          </w:p>
        </w:tc>
        <w:tc>
          <w:tcPr>
            <w:tcW w:w="3967" w:type="dxa"/>
            <w:gridSpan w:val="4"/>
            <w:tcBorders>
              <w:top w:val="single" w:sz="4" w:space="0" w:color="auto"/>
            </w:tcBorders>
            <w:vAlign w:val="center"/>
          </w:tcPr>
          <w:p w14:paraId="44500E4F"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Sample</w:t>
            </w:r>
          </w:p>
        </w:tc>
        <w:tc>
          <w:tcPr>
            <w:tcW w:w="870" w:type="dxa"/>
            <w:vMerge w:val="restart"/>
            <w:tcBorders>
              <w:top w:val="single" w:sz="4" w:space="0" w:color="auto"/>
              <w:bottom w:val="single" w:sz="4" w:space="0" w:color="auto"/>
            </w:tcBorders>
            <w:vAlign w:val="center"/>
          </w:tcPr>
          <w:p w14:paraId="4E41B4DB"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p-value</w:t>
            </w:r>
          </w:p>
        </w:tc>
        <w:tc>
          <w:tcPr>
            <w:tcW w:w="1842" w:type="dxa"/>
            <w:vMerge w:val="restart"/>
            <w:tcBorders>
              <w:top w:val="single" w:sz="4" w:space="0" w:color="auto"/>
              <w:bottom w:val="single" w:sz="4" w:space="0" w:color="auto"/>
              <w:right w:val="nil"/>
            </w:tcBorders>
            <w:vAlign w:val="center"/>
          </w:tcPr>
          <w:p w14:paraId="49C40C53"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 xml:space="preserve">OR </w:t>
            </w:r>
          </w:p>
          <w:p w14:paraId="0119B308"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(95% CI)</w:t>
            </w:r>
          </w:p>
        </w:tc>
      </w:tr>
      <w:tr w:rsidR="00CD65D4" w:rsidRPr="00CD65D4" w14:paraId="030C6D52" w14:textId="77777777" w:rsidTr="00CD65D4">
        <w:tc>
          <w:tcPr>
            <w:tcW w:w="3087" w:type="dxa"/>
            <w:vMerge/>
            <w:tcBorders>
              <w:top w:val="nil"/>
              <w:left w:val="nil"/>
              <w:bottom w:val="single" w:sz="4" w:space="0" w:color="auto"/>
            </w:tcBorders>
          </w:tcPr>
          <w:p w14:paraId="64E26047" w14:textId="77777777" w:rsidR="00CD65D4" w:rsidRPr="00CD65D4" w:rsidRDefault="00CD65D4" w:rsidP="00CD65D4">
            <w:pPr>
              <w:rPr>
                <w:rFonts w:ascii="Georgia" w:hAnsi="Georgia"/>
                <w:sz w:val="24"/>
                <w:szCs w:val="24"/>
                <w:lang w:val="id-ID"/>
              </w:rPr>
            </w:pPr>
          </w:p>
        </w:tc>
        <w:tc>
          <w:tcPr>
            <w:tcW w:w="1983" w:type="dxa"/>
            <w:gridSpan w:val="2"/>
            <w:tcBorders>
              <w:bottom w:val="single" w:sz="4" w:space="0" w:color="auto"/>
            </w:tcBorders>
            <w:vAlign w:val="center"/>
          </w:tcPr>
          <w:p w14:paraId="5B94784E"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Case</w:t>
            </w:r>
          </w:p>
        </w:tc>
        <w:tc>
          <w:tcPr>
            <w:tcW w:w="1984" w:type="dxa"/>
            <w:gridSpan w:val="2"/>
            <w:tcBorders>
              <w:bottom w:val="single" w:sz="4" w:space="0" w:color="auto"/>
            </w:tcBorders>
            <w:vAlign w:val="center"/>
          </w:tcPr>
          <w:p w14:paraId="69D8337B"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Control</w:t>
            </w:r>
          </w:p>
        </w:tc>
        <w:tc>
          <w:tcPr>
            <w:tcW w:w="870" w:type="dxa"/>
            <w:vMerge/>
            <w:tcBorders>
              <w:top w:val="nil"/>
              <w:bottom w:val="single" w:sz="4" w:space="0" w:color="auto"/>
            </w:tcBorders>
          </w:tcPr>
          <w:p w14:paraId="263BEC26" w14:textId="77777777" w:rsidR="00CD65D4" w:rsidRPr="00CD65D4" w:rsidRDefault="00CD65D4" w:rsidP="00CD65D4">
            <w:pPr>
              <w:rPr>
                <w:rFonts w:ascii="Georgia" w:hAnsi="Georgia"/>
                <w:sz w:val="24"/>
                <w:szCs w:val="24"/>
                <w:lang w:val="id-ID"/>
              </w:rPr>
            </w:pPr>
          </w:p>
        </w:tc>
        <w:tc>
          <w:tcPr>
            <w:tcW w:w="1842" w:type="dxa"/>
            <w:vMerge/>
            <w:tcBorders>
              <w:top w:val="nil"/>
              <w:bottom w:val="single" w:sz="4" w:space="0" w:color="auto"/>
              <w:right w:val="nil"/>
            </w:tcBorders>
          </w:tcPr>
          <w:p w14:paraId="63DF27F2" w14:textId="77777777" w:rsidR="00CD65D4" w:rsidRPr="00CD65D4" w:rsidRDefault="00CD65D4" w:rsidP="00CD65D4">
            <w:pPr>
              <w:rPr>
                <w:rFonts w:ascii="Georgia" w:hAnsi="Georgia"/>
                <w:sz w:val="24"/>
                <w:szCs w:val="24"/>
                <w:lang w:val="id-ID"/>
              </w:rPr>
            </w:pPr>
          </w:p>
        </w:tc>
      </w:tr>
      <w:tr w:rsidR="00CD65D4" w:rsidRPr="00CD65D4" w14:paraId="23F8A76C" w14:textId="77777777" w:rsidTr="00CD65D4">
        <w:tc>
          <w:tcPr>
            <w:tcW w:w="3087" w:type="dxa"/>
            <w:vMerge/>
            <w:tcBorders>
              <w:top w:val="nil"/>
              <w:left w:val="nil"/>
              <w:bottom w:val="single" w:sz="4" w:space="0" w:color="auto"/>
            </w:tcBorders>
          </w:tcPr>
          <w:p w14:paraId="0ECAA6AD" w14:textId="77777777" w:rsidR="00CD65D4" w:rsidRPr="00CD65D4" w:rsidRDefault="00CD65D4" w:rsidP="00CD65D4">
            <w:pPr>
              <w:rPr>
                <w:rFonts w:ascii="Georgia" w:hAnsi="Georgia"/>
                <w:sz w:val="24"/>
                <w:szCs w:val="24"/>
                <w:lang w:val="id-ID"/>
              </w:rPr>
            </w:pPr>
          </w:p>
        </w:tc>
        <w:tc>
          <w:tcPr>
            <w:tcW w:w="990" w:type="dxa"/>
            <w:tcBorders>
              <w:top w:val="single" w:sz="4" w:space="0" w:color="auto"/>
              <w:bottom w:val="single" w:sz="4" w:space="0" w:color="auto"/>
            </w:tcBorders>
            <w:vAlign w:val="center"/>
          </w:tcPr>
          <w:p w14:paraId="0F69040F"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n</w:t>
            </w:r>
          </w:p>
        </w:tc>
        <w:tc>
          <w:tcPr>
            <w:tcW w:w="993" w:type="dxa"/>
            <w:tcBorders>
              <w:top w:val="single" w:sz="4" w:space="0" w:color="auto"/>
              <w:bottom w:val="single" w:sz="4" w:space="0" w:color="auto"/>
            </w:tcBorders>
            <w:vAlign w:val="center"/>
          </w:tcPr>
          <w:p w14:paraId="4ACD6953"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w:t>
            </w:r>
          </w:p>
        </w:tc>
        <w:tc>
          <w:tcPr>
            <w:tcW w:w="992" w:type="dxa"/>
            <w:tcBorders>
              <w:top w:val="single" w:sz="4" w:space="0" w:color="auto"/>
              <w:bottom w:val="single" w:sz="4" w:space="0" w:color="auto"/>
            </w:tcBorders>
            <w:vAlign w:val="center"/>
          </w:tcPr>
          <w:p w14:paraId="454E5FA2"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n</w:t>
            </w:r>
          </w:p>
        </w:tc>
        <w:tc>
          <w:tcPr>
            <w:tcW w:w="992" w:type="dxa"/>
            <w:tcBorders>
              <w:top w:val="single" w:sz="4" w:space="0" w:color="auto"/>
              <w:bottom w:val="single" w:sz="4" w:space="0" w:color="auto"/>
            </w:tcBorders>
            <w:vAlign w:val="center"/>
          </w:tcPr>
          <w:p w14:paraId="6AB79274"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w:t>
            </w:r>
          </w:p>
        </w:tc>
        <w:tc>
          <w:tcPr>
            <w:tcW w:w="870" w:type="dxa"/>
            <w:vMerge/>
            <w:tcBorders>
              <w:top w:val="nil"/>
              <w:bottom w:val="single" w:sz="4" w:space="0" w:color="auto"/>
            </w:tcBorders>
          </w:tcPr>
          <w:p w14:paraId="1F7A6CB8" w14:textId="77777777" w:rsidR="00CD65D4" w:rsidRPr="00CD65D4" w:rsidRDefault="00CD65D4" w:rsidP="00CD65D4">
            <w:pPr>
              <w:rPr>
                <w:rFonts w:ascii="Georgia" w:hAnsi="Georgia"/>
                <w:sz w:val="24"/>
                <w:szCs w:val="24"/>
                <w:lang w:val="id-ID"/>
              </w:rPr>
            </w:pPr>
          </w:p>
        </w:tc>
        <w:tc>
          <w:tcPr>
            <w:tcW w:w="1842" w:type="dxa"/>
            <w:vMerge/>
            <w:tcBorders>
              <w:top w:val="nil"/>
              <w:bottom w:val="single" w:sz="4" w:space="0" w:color="auto"/>
              <w:right w:val="nil"/>
            </w:tcBorders>
          </w:tcPr>
          <w:p w14:paraId="36A99CFF" w14:textId="77777777" w:rsidR="00CD65D4" w:rsidRPr="00CD65D4" w:rsidRDefault="00CD65D4" w:rsidP="00CD65D4">
            <w:pPr>
              <w:rPr>
                <w:rFonts w:ascii="Georgia" w:hAnsi="Georgia"/>
                <w:sz w:val="24"/>
                <w:szCs w:val="24"/>
                <w:lang w:val="id-ID"/>
              </w:rPr>
            </w:pPr>
          </w:p>
        </w:tc>
      </w:tr>
      <w:tr w:rsidR="00CD65D4" w:rsidRPr="00CD65D4" w14:paraId="2C728E3F" w14:textId="77777777" w:rsidTr="00CD65D4">
        <w:trPr>
          <w:trHeight w:val="624"/>
        </w:trPr>
        <w:tc>
          <w:tcPr>
            <w:tcW w:w="3087" w:type="dxa"/>
            <w:tcBorders>
              <w:top w:val="single" w:sz="4" w:space="0" w:color="auto"/>
              <w:left w:val="nil"/>
            </w:tcBorders>
          </w:tcPr>
          <w:p w14:paraId="153BAA56" w14:textId="77777777" w:rsidR="00CD65D4" w:rsidRPr="00CD65D4" w:rsidRDefault="00CD65D4" w:rsidP="00CD65D4">
            <w:pPr>
              <w:rPr>
                <w:rFonts w:ascii="Georgia" w:hAnsi="Georgia"/>
                <w:b/>
                <w:bCs/>
                <w:sz w:val="24"/>
                <w:szCs w:val="24"/>
                <w:lang w:val="id-ID"/>
              </w:rPr>
            </w:pPr>
            <w:r w:rsidRPr="00CD65D4">
              <w:rPr>
                <w:rFonts w:ascii="Georgia" w:hAnsi="Georgia"/>
                <w:b/>
                <w:bCs/>
                <w:sz w:val="24"/>
                <w:szCs w:val="24"/>
                <w:lang w:val="id-ID"/>
              </w:rPr>
              <w:t>Mother's education</w:t>
            </w:r>
          </w:p>
          <w:p w14:paraId="2D025F63" w14:textId="77777777" w:rsidR="00CD65D4" w:rsidRPr="00CD65D4" w:rsidRDefault="00CD65D4" w:rsidP="00CD65D4">
            <w:pPr>
              <w:ind w:left="317"/>
              <w:rPr>
                <w:rFonts w:ascii="Georgia" w:hAnsi="Georgia"/>
                <w:sz w:val="24"/>
                <w:szCs w:val="24"/>
                <w:lang w:val="id-ID"/>
              </w:rPr>
            </w:pPr>
            <w:r w:rsidRPr="00CD65D4">
              <w:rPr>
                <w:rFonts w:ascii="Georgia" w:hAnsi="Georgia"/>
                <w:sz w:val="24"/>
                <w:szCs w:val="24"/>
                <w:lang w:val="id-ID"/>
              </w:rPr>
              <w:t>Low</w:t>
            </w:r>
          </w:p>
          <w:p w14:paraId="4F123101" w14:textId="77777777" w:rsidR="00CD65D4" w:rsidRPr="00CD65D4" w:rsidRDefault="00CD65D4" w:rsidP="00CD65D4">
            <w:pPr>
              <w:ind w:left="317"/>
              <w:rPr>
                <w:rFonts w:ascii="Georgia" w:hAnsi="Georgia"/>
                <w:sz w:val="24"/>
                <w:szCs w:val="24"/>
                <w:lang w:val="id-ID"/>
              </w:rPr>
            </w:pPr>
            <w:r w:rsidRPr="00CD65D4">
              <w:rPr>
                <w:rFonts w:ascii="Georgia" w:hAnsi="Georgia"/>
                <w:sz w:val="24"/>
                <w:szCs w:val="24"/>
                <w:lang w:val="id-ID"/>
              </w:rPr>
              <w:t>High</w:t>
            </w:r>
          </w:p>
        </w:tc>
        <w:tc>
          <w:tcPr>
            <w:tcW w:w="990" w:type="dxa"/>
            <w:tcBorders>
              <w:top w:val="single" w:sz="4" w:space="0" w:color="auto"/>
            </w:tcBorders>
            <w:vAlign w:val="center"/>
          </w:tcPr>
          <w:p w14:paraId="07EEDD9E" w14:textId="77777777" w:rsidR="00CD65D4" w:rsidRPr="00CD65D4" w:rsidRDefault="00CD65D4" w:rsidP="00CD65D4">
            <w:pPr>
              <w:jc w:val="center"/>
              <w:rPr>
                <w:rFonts w:ascii="Georgia" w:hAnsi="Georgia"/>
                <w:sz w:val="24"/>
                <w:szCs w:val="24"/>
                <w:lang w:val="id-ID"/>
              </w:rPr>
            </w:pPr>
          </w:p>
          <w:p w14:paraId="71B8993D"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24</w:t>
            </w:r>
          </w:p>
          <w:p w14:paraId="51DBA4C2"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27</w:t>
            </w:r>
          </w:p>
        </w:tc>
        <w:tc>
          <w:tcPr>
            <w:tcW w:w="993" w:type="dxa"/>
            <w:tcBorders>
              <w:top w:val="single" w:sz="4" w:space="0" w:color="auto"/>
            </w:tcBorders>
            <w:vAlign w:val="center"/>
          </w:tcPr>
          <w:p w14:paraId="724C7A05" w14:textId="77777777" w:rsidR="00CD65D4" w:rsidRPr="00CD65D4" w:rsidRDefault="00CD65D4" w:rsidP="00CD65D4">
            <w:pPr>
              <w:jc w:val="center"/>
              <w:rPr>
                <w:rFonts w:ascii="Georgia" w:hAnsi="Georgia"/>
                <w:sz w:val="24"/>
                <w:szCs w:val="24"/>
                <w:lang w:val="id-ID"/>
              </w:rPr>
            </w:pPr>
          </w:p>
          <w:p w14:paraId="7AF1FFF5"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47.1</w:t>
            </w:r>
          </w:p>
          <w:p w14:paraId="30F55ACF"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52.9</w:t>
            </w:r>
          </w:p>
        </w:tc>
        <w:tc>
          <w:tcPr>
            <w:tcW w:w="992" w:type="dxa"/>
            <w:tcBorders>
              <w:top w:val="single" w:sz="4" w:space="0" w:color="auto"/>
            </w:tcBorders>
            <w:vAlign w:val="center"/>
          </w:tcPr>
          <w:p w14:paraId="4FA973F7" w14:textId="77777777" w:rsidR="00CD65D4" w:rsidRPr="00CD65D4" w:rsidRDefault="00CD65D4" w:rsidP="00CD65D4">
            <w:pPr>
              <w:jc w:val="center"/>
              <w:rPr>
                <w:rFonts w:ascii="Georgia" w:hAnsi="Georgia"/>
                <w:sz w:val="24"/>
                <w:szCs w:val="24"/>
                <w:lang w:val="id-ID"/>
              </w:rPr>
            </w:pPr>
          </w:p>
          <w:p w14:paraId="32D2B07C"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12</w:t>
            </w:r>
          </w:p>
          <w:p w14:paraId="57C95226"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39</w:t>
            </w:r>
          </w:p>
        </w:tc>
        <w:tc>
          <w:tcPr>
            <w:tcW w:w="992" w:type="dxa"/>
            <w:tcBorders>
              <w:top w:val="single" w:sz="4" w:space="0" w:color="auto"/>
            </w:tcBorders>
            <w:vAlign w:val="center"/>
          </w:tcPr>
          <w:p w14:paraId="6161521F" w14:textId="77777777" w:rsidR="00CD65D4" w:rsidRPr="00CD65D4" w:rsidRDefault="00CD65D4" w:rsidP="00CD65D4">
            <w:pPr>
              <w:jc w:val="center"/>
              <w:rPr>
                <w:rFonts w:ascii="Georgia" w:hAnsi="Georgia"/>
                <w:sz w:val="24"/>
                <w:szCs w:val="24"/>
                <w:lang w:val="id-ID"/>
              </w:rPr>
            </w:pPr>
          </w:p>
          <w:p w14:paraId="6D9852B0"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23.5</w:t>
            </w:r>
          </w:p>
          <w:p w14:paraId="07A92B91"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76.5</w:t>
            </w:r>
          </w:p>
        </w:tc>
        <w:tc>
          <w:tcPr>
            <w:tcW w:w="870" w:type="dxa"/>
            <w:tcBorders>
              <w:top w:val="single" w:sz="4" w:space="0" w:color="auto"/>
            </w:tcBorders>
            <w:vAlign w:val="center"/>
          </w:tcPr>
          <w:p w14:paraId="7FF91670"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0.022</w:t>
            </w:r>
          </w:p>
        </w:tc>
        <w:tc>
          <w:tcPr>
            <w:tcW w:w="1842" w:type="dxa"/>
            <w:tcBorders>
              <w:top w:val="single" w:sz="4" w:space="0" w:color="auto"/>
              <w:right w:val="nil"/>
            </w:tcBorders>
            <w:vAlign w:val="center"/>
          </w:tcPr>
          <w:p w14:paraId="11DED2CE"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2.889</w:t>
            </w:r>
          </w:p>
          <w:p w14:paraId="2C49F617"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(1.236-6.735)</w:t>
            </w:r>
          </w:p>
        </w:tc>
      </w:tr>
      <w:tr w:rsidR="00CD65D4" w:rsidRPr="00CD65D4" w14:paraId="33219768" w14:textId="77777777" w:rsidTr="00CD65D4">
        <w:trPr>
          <w:trHeight w:val="813"/>
        </w:trPr>
        <w:tc>
          <w:tcPr>
            <w:tcW w:w="3087" w:type="dxa"/>
            <w:tcBorders>
              <w:left w:val="nil"/>
            </w:tcBorders>
          </w:tcPr>
          <w:p w14:paraId="41C7E213" w14:textId="77777777" w:rsidR="00CD65D4" w:rsidRPr="00CD65D4" w:rsidRDefault="00CD65D4" w:rsidP="00CD65D4">
            <w:pPr>
              <w:rPr>
                <w:rFonts w:ascii="Georgia" w:hAnsi="Georgia"/>
                <w:b/>
                <w:bCs/>
                <w:sz w:val="24"/>
                <w:szCs w:val="24"/>
                <w:lang w:val="id-ID"/>
              </w:rPr>
            </w:pPr>
            <w:r w:rsidRPr="00CD65D4">
              <w:rPr>
                <w:rFonts w:ascii="Georgia" w:hAnsi="Georgia"/>
                <w:b/>
                <w:bCs/>
                <w:sz w:val="24"/>
                <w:szCs w:val="24"/>
                <w:lang w:val="id-ID"/>
              </w:rPr>
              <w:t>Household member</w:t>
            </w:r>
          </w:p>
          <w:p w14:paraId="2C38CEEA" w14:textId="77777777" w:rsidR="00CD65D4" w:rsidRPr="00CD65D4" w:rsidRDefault="00CD65D4" w:rsidP="00CD65D4">
            <w:pPr>
              <w:ind w:left="317"/>
              <w:rPr>
                <w:rFonts w:ascii="Georgia" w:hAnsi="Georgia"/>
                <w:sz w:val="24"/>
                <w:szCs w:val="24"/>
                <w:lang w:val="id-ID"/>
              </w:rPr>
            </w:pPr>
            <w:r w:rsidRPr="00CD65D4">
              <w:rPr>
                <w:rFonts w:ascii="Georgia" w:hAnsi="Georgia"/>
                <w:sz w:val="24"/>
                <w:szCs w:val="24"/>
                <w:lang w:val="id-ID"/>
              </w:rPr>
              <w:t>more than 4</w:t>
            </w:r>
          </w:p>
          <w:p w14:paraId="1A66C2F3" w14:textId="77777777" w:rsidR="00CD65D4" w:rsidRPr="00CD65D4" w:rsidRDefault="00CD65D4" w:rsidP="00CD65D4">
            <w:pPr>
              <w:ind w:left="317"/>
              <w:rPr>
                <w:rFonts w:ascii="Georgia" w:hAnsi="Georgia"/>
                <w:b/>
                <w:bCs/>
                <w:sz w:val="24"/>
                <w:szCs w:val="24"/>
                <w:lang w:val="id-ID"/>
              </w:rPr>
            </w:pPr>
            <w:r w:rsidRPr="00CD65D4">
              <w:rPr>
                <w:rFonts w:ascii="Georgia" w:hAnsi="Georgia"/>
                <w:sz w:val="24"/>
                <w:szCs w:val="24"/>
                <w:lang w:val="id-ID"/>
              </w:rPr>
              <w:t>4 or less</w:t>
            </w:r>
          </w:p>
        </w:tc>
        <w:tc>
          <w:tcPr>
            <w:tcW w:w="990" w:type="dxa"/>
          </w:tcPr>
          <w:p w14:paraId="735192E1" w14:textId="77777777" w:rsidR="00CD65D4" w:rsidRPr="00CD65D4" w:rsidRDefault="00CD65D4" w:rsidP="00CD65D4">
            <w:pPr>
              <w:jc w:val="center"/>
              <w:rPr>
                <w:rFonts w:ascii="Georgia" w:hAnsi="Georgia"/>
                <w:sz w:val="24"/>
                <w:szCs w:val="24"/>
                <w:lang w:val="id-ID"/>
              </w:rPr>
            </w:pPr>
          </w:p>
          <w:p w14:paraId="1B7CC132"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41</w:t>
            </w:r>
          </w:p>
          <w:p w14:paraId="1C0C4D98"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10</w:t>
            </w:r>
          </w:p>
        </w:tc>
        <w:tc>
          <w:tcPr>
            <w:tcW w:w="993" w:type="dxa"/>
          </w:tcPr>
          <w:p w14:paraId="1F097D10" w14:textId="77777777" w:rsidR="00CD65D4" w:rsidRPr="00CD65D4" w:rsidRDefault="00CD65D4" w:rsidP="00CD65D4">
            <w:pPr>
              <w:jc w:val="center"/>
              <w:rPr>
                <w:rFonts w:ascii="Georgia" w:hAnsi="Georgia"/>
                <w:sz w:val="24"/>
                <w:szCs w:val="24"/>
                <w:lang w:val="id-ID"/>
              </w:rPr>
            </w:pPr>
          </w:p>
          <w:p w14:paraId="4A0F952B"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80.4</w:t>
            </w:r>
          </w:p>
          <w:p w14:paraId="52DA81F7"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19.6</w:t>
            </w:r>
          </w:p>
        </w:tc>
        <w:tc>
          <w:tcPr>
            <w:tcW w:w="992" w:type="dxa"/>
          </w:tcPr>
          <w:p w14:paraId="23B8B76D" w14:textId="77777777" w:rsidR="00CD65D4" w:rsidRPr="00CD65D4" w:rsidRDefault="00CD65D4" w:rsidP="00CD65D4">
            <w:pPr>
              <w:jc w:val="center"/>
              <w:rPr>
                <w:rFonts w:ascii="Georgia" w:hAnsi="Georgia"/>
                <w:sz w:val="24"/>
                <w:szCs w:val="24"/>
                <w:lang w:val="id-ID"/>
              </w:rPr>
            </w:pPr>
          </w:p>
          <w:p w14:paraId="00618A26"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44</w:t>
            </w:r>
          </w:p>
          <w:p w14:paraId="38FD7419"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7</w:t>
            </w:r>
          </w:p>
        </w:tc>
        <w:tc>
          <w:tcPr>
            <w:tcW w:w="992" w:type="dxa"/>
          </w:tcPr>
          <w:p w14:paraId="6E5BC7EF" w14:textId="77777777" w:rsidR="00CD65D4" w:rsidRPr="00CD65D4" w:rsidRDefault="00CD65D4" w:rsidP="00CD65D4">
            <w:pPr>
              <w:jc w:val="center"/>
              <w:rPr>
                <w:rFonts w:ascii="Georgia" w:hAnsi="Georgia"/>
                <w:sz w:val="24"/>
                <w:szCs w:val="24"/>
                <w:lang w:val="id-ID"/>
              </w:rPr>
            </w:pPr>
          </w:p>
          <w:p w14:paraId="521216C8"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86.3</w:t>
            </w:r>
          </w:p>
          <w:p w14:paraId="1B00D358"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13.7</w:t>
            </w:r>
          </w:p>
        </w:tc>
        <w:tc>
          <w:tcPr>
            <w:tcW w:w="870" w:type="dxa"/>
            <w:vAlign w:val="center"/>
          </w:tcPr>
          <w:p w14:paraId="09B8A4E6"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0.596</w:t>
            </w:r>
          </w:p>
        </w:tc>
        <w:tc>
          <w:tcPr>
            <w:tcW w:w="1842" w:type="dxa"/>
            <w:tcBorders>
              <w:right w:val="nil"/>
            </w:tcBorders>
            <w:vAlign w:val="center"/>
          </w:tcPr>
          <w:p w14:paraId="0B9ABB70"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0.652</w:t>
            </w:r>
          </w:p>
          <w:p w14:paraId="4A156DC9"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(0.227-1.874)</w:t>
            </w:r>
          </w:p>
        </w:tc>
      </w:tr>
      <w:tr w:rsidR="00CD65D4" w:rsidRPr="00CD65D4" w14:paraId="2262C35A" w14:textId="77777777" w:rsidTr="00CD65D4">
        <w:trPr>
          <w:trHeight w:val="815"/>
        </w:trPr>
        <w:tc>
          <w:tcPr>
            <w:tcW w:w="3087" w:type="dxa"/>
            <w:tcBorders>
              <w:left w:val="nil"/>
            </w:tcBorders>
          </w:tcPr>
          <w:p w14:paraId="2ABA2D06" w14:textId="77777777" w:rsidR="00CD65D4" w:rsidRPr="00CD65D4" w:rsidRDefault="00CD65D4" w:rsidP="00CD65D4">
            <w:pPr>
              <w:rPr>
                <w:rFonts w:ascii="Georgia" w:hAnsi="Georgia"/>
                <w:b/>
                <w:bCs/>
                <w:sz w:val="24"/>
                <w:szCs w:val="24"/>
                <w:lang w:val="id-ID"/>
              </w:rPr>
            </w:pPr>
            <w:r w:rsidRPr="00CD65D4">
              <w:rPr>
                <w:rFonts w:ascii="Georgia" w:hAnsi="Georgia"/>
                <w:b/>
                <w:bCs/>
                <w:sz w:val="24"/>
                <w:szCs w:val="24"/>
                <w:lang w:val="id-ID"/>
              </w:rPr>
              <w:t>Low birth weight</w:t>
            </w:r>
          </w:p>
          <w:p w14:paraId="435E1A84" w14:textId="77777777" w:rsidR="00CD65D4" w:rsidRPr="00CD65D4" w:rsidRDefault="00CD65D4" w:rsidP="00CD65D4">
            <w:pPr>
              <w:ind w:left="317"/>
              <w:rPr>
                <w:rFonts w:ascii="Georgia" w:hAnsi="Georgia"/>
                <w:sz w:val="24"/>
                <w:szCs w:val="24"/>
                <w:lang w:val="id-ID"/>
              </w:rPr>
            </w:pPr>
            <w:r w:rsidRPr="00CD65D4">
              <w:rPr>
                <w:rFonts w:ascii="Georgia" w:hAnsi="Georgia"/>
                <w:sz w:val="24"/>
                <w:szCs w:val="24"/>
                <w:lang w:val="id-ID"/>
              </w:rPr>
              <w:t>LBW</w:t>
            </w:r>
          </w:p>
          <w:p w14:paraId="0C2C23E8" w14:textId="77777777" w:rsidR="00CD65D4" w:rsidRPr="00CD65D4" w:rsidRDefault="00CD65D4" w:rsidP="00CD65D4">
            <w:pPr>
              <w:ind w:left="317"/>
              <w:rPr>
                <w:rFonts w:ascii="Georgia" w:hAnsi="Georgia"/>
                <w:sz w:val="24"/>
                <w:szCs w:val="24"/>
                <w:lang w:val="id-ID"/>
              </w:rPr>
            </w:pPr>
            <w:r w:rsidRPr="00CD65D4">
              <w:rPr>
                <w:rFonts w:ascii="Georgia" w:hAnsi="Georgia"/>
                <w:sz w:val="24"/>
                <w:szCs w:val="24"/>
                <w:lang w:val="id-ID"/>
              </w:rPr>
              <w:t>Normal</w:t>
            </w:r>
          </w:p>
        </w:tc>
        <w:tc>
          <w:tcPr>
            <w:tcW w:w="990" w:type="dxa"/>
          </w:tcPr>
          <w:p w14:paraId="146A289E" w14:textId="77777777" w:rsidR="00CD65D4" w:rsidRPr="00CD65D4" w:rsidRDefault="00CD65D4" w:rsidP="00CD65D4">
            <w:pPr>
              <w:jc w:val="center"/>
              <w:rPr>
                <w:rFonts w:ascii="Georgia" w:hAnsi="Georgia"/>
                <w:sz w:val="24"/>
                <w:szCs w:val="24"/>
                <w:lang w:val="id-ID"/>
              </w:rPr>
            </w:pPr>
          </w:p>
          <w:p w14:paraId="47A4E4C1"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24</w:t>
            </w:r>
          </w:p>
          <w:p w14:paraId="1BE8922A"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27</w:t>
            </w:r>
          </w:p>
        </w:tc>
        <w:tc>
          <w:tcPr>
            <w:tcW w:w="993" w:type="dxa"/>
          </w:tcPr>
          <w:p w14:paraId="443C04C3" w14:textId="77777777" w:rsidR="00CD65D4" w:rsidRPr="00CD65D4" w:rsidRDefault="00CD65D4" w:rsidP="00CD65D4">
            <w:pPr>
              <w:jc w:val="center"/>
              <w:rPr>
                <w:rFonts w:ascii="Georgia" w:hAnsi="Georgia"/>
                <w:sz w:val="24"/>
                <w:szCs w:val="24"/>
                <w:lang w:val="id-ID"/>
              </w:rPr>
            </w:pPr>
          </w:p>
          <w:p w14:paraId="4D8F8CD3"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47.1</w:t>
            </w:r>
          </w:p>
          <w:p w14:paraId="171A4848"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52.9</w:t>
            </w:r>
          </w:p>
        </w:tc>
        <w:tc>
          <w:tcPr>
            <w:tcW w:w="992" w:type="dxa"/>
          </w:tcPr>
          <w:p w14:paraId="6653AC86" w14:textId="77777777" w:rsidR="00CD65D4" w:rsidRPr="00CD65D4" w:rsidRDefault="00CD65D4" w:rsidP="00CD65D4">
            <w:pPr>
              <w:jc w:val="center"/>
              <w:rPr>
                <w:rFonts w:ascii="Georgia" w:hAnsi="Georgia"/>
                <w:sz w:val="24"/>
                <w:szCs w:val="24"/>
                <w:lang w:val="id-ID"/>
              </w:rPr>
            </w:pPr>
          </w:p>
          <w:p w14:paraId="330E7DA0"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4</w:t>
            </w:r>
          </w:p>
          <w:p w14:paraId="4DF64102"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47</w:t>
            </w:r>
          </w:p>
        </w:tc>
        <w:tc>
          <w:tcPr>
            <w:tcW w:w="992" w:type="dxa"/>
          </w:tcPr>
          <w:p w14:paraId="7B28DA6A" w14:textId="77777777" w:rsidR="00CD65D4" w:rsidRPr="00CD65D4" w:rsidRDefault="00CD65D4" w:rsidP="00CD65D4">
            <w:pPr>
              <w:jc w:val="center"/>
              <w:rPr>
                <w:rFonts w:ascii="Georgia" w:hAnsi="Georgia"/>
                <w:sz w:val="24"/>
                <w:szCs w:val="24"/>
                <w:lang w:val="id-ID"/>
              </w:rPr>
            </w:pPr>
          </w:p>
          <w:p w14:paraId="69501BE7"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7.8</w:t>
            </w:r>
          </w:p>
          <w:p w14:paraId="414B4F73"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92.2</w:t>
            </w:r>
          </w:p>
        </w:tc>
        <w:tc>
          <w:tcPr>
            <w:tcW w:w="870" w:type="dxa"/>
            <w:vAlign w:val="center"/>
          </w:tcPr>
          <w:p w14:paraId="0133C327"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0.000</w:t>
            </w:r>
          </w:p>
        </w:tc>
        <w:tc>
          <w:tcPr>
            <w:tcW w:w="1842" w:type="dxa"/>
            <w:tcBorders>
              <w:right w:val="nil"/>
            </w:tcBorders>
            <w:vAlign w:val="center"/>
          </w:tcPr>
          <w:p w14:paraId="39D25083"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10.444</w:t>
            </w:r>
          </w:p>
          <w:p w14:paraId="546784E9"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(3.276-33.300)</w:t>
            </w:r>
          </w:p>
        </w:tc>
      </w:tr>
      <w:tr w:rsidR="00CD65D4" w:rsidRPr="00CD65D4" w14:paraId="7F600B89" w14:textId="77777777" w:rsidTr="00CD65D4">
        <w:trPr>
          <w:trHeight w:val="611"/>
        </w:trPr>
        <w:tc>
          <w:tcPr>
            <w:tcW w:w="3087" w:type="dxa"/>
            <w:tcBorders>
              <w:left w:val="nil"/>
              <w:bottom w:val="single" w:sz="4" w:space="0" w:color="auto"/>
            </w:tcBorders>
          </w:tcPr>
          <w:p w14:paraId="41ED0BF7" w14:textId="77777777" w:rsidR="00CD65D4" w:rsidRPr="00CD65D4" w:rsidRDefault="00CD65D4" w:rsidP="00CD65D4">
            <w:pPr>
              <w:rPr>
                <w:rFonts w:ascii="Georgia" w:hAnsi="Georgia"/>
                <w:sz w:val="24"/>
                <w:szCs w:val="24"/>
                <w:lang w:val="id-ID"/>
              </w:rPr>
            </w:pPr>
            <w:r w:rsidRPr="00CD65D4">
              <w:rPr>
                <w:rFonts w:ascii="Georgia" w:hAnsi="Georgia"/>
                <w:b/>
                <w:bCs/>
                <w:sz w:val="24"/>
                <w:szCs w:val="24"/>
                <w:lang w:val="id-ID"/>
              </w:rPr>
              <w:t>History of Infection</w:t>
            </w:r>
          </w:p>
          <w:p w14:paraId="3DF0EC61" w14:textId="77777777" w:rsidR="00CD65D4" w:rsidRPr="00CD65D4" w:rsidRDefault="00CD65D4" w:rsidP="00CD65D4">
            <w:pPr>
              <w:ind w:left="317"/>
              <w:rPr>
                <w:rFonts w:ascii="Georgia" w:hAnsi="Georgia"/>
                <w:sz w:val="24"/>
                <w:szCs w:val="24"/>
                <w:lang w:val="id-ID"/>
              </w:rPr>
            </w:pPr>
            <w:r w:rsidRPr="00CD65D4">
              <w:rPr>
                <w:rFonts w:ascii="Georgia" w:hAnsi="Georgia"/>
                <w:sz w:val="24"/>
                <w:szCs w:val="24"/>
                <w:lang w:val="id-ID"/>
              </w:rPr>
              <w:t>Yes</w:t>
            </w:r>
          </w:p>
          <w:p w14:paraId="5EA9236C" w14:textId="77777777" w:rsidR="00CD65D4" w:rsidRPr="00CD65D4" w:rsidRDefault="00CD65D4" w:rsidP="00CD65D4">
            <w:pPr>
              <w:ind w:left="317"/>
              <w:rPr>
                <w:rFonts w:ascii="Georgia" w:hAnsi="Georgia"/>
                <w:b/>
                <w:bCs/>
                <w:sz w:val="24"/>
                <w:szCs w:val="24"/>
                <w:lang w:val="id-ID"/>
              </w:rPr>
            </w:pPr>
            <w:r w:rsidRPr="00CD65D4">
              <w:rPr>
                <w:rFonts w:ascii="Georgia" w:hAnsi="Georgia"/>
                <w:sz w:val="24"/>
                <w:szCs w:val="24"/>
                <w:lang w:val="id-ID"/>
              </w:rPr>
              <w:t>No</w:t>
            </w:r>
          </w:p>
        </w:tc>
        <w:tc>
          <w:tcPr>
            <w:tcW w:w="990" w:type="dxa"/>
            <w:tcBorders>
              <w:bottom w:val="single" w:sz="4" w:space="0" w:color="auto"/>
            </w:tcBorders>
          </w:tcPr>
          <w:p w14:paraId="19C0CC70" w14:textId="77777777" w:rsidR="00CD65D4" w:rsidRPr="00CD65D4" w:rsidRDefault="00CD65D4" w:rsidP="00CD65D4">
            <w:pPr>
              <w:jc w:val="center"/>
              <w:rPr>
                <w:rFonts w:ascii="Georgia" w:hAnsi="Georgia"/>
                <w:sz w:val="24"/>
                <w:szCs w:val="24"/>
                <w:lang w:val="id-ID"/>
              </w:rPr>
            </w:pPr>
          </w:p>
          <w:p w14:paraId="146FB53D"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26</w:t>
            </w:r>
          </w:p>
          <w:p w14:paraId="1C88A2C1"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25</w:t>
            </w:r>
          </w:p>
        </w:tc>
        <w:tc>
          <w:tcPr>
            <w:tcW w:w="993" w:type="dxa"/>
            <w:tcBorders>
              <w:bottom w:val="single" w:sz="4" w:space="0" w:color="auto"/>
            </w:tcBorders>
          </w:tcPr>
          <w:p w14:paraId="40D8856E" w14:textId="77777777" w:rsidR="00CD65D4" w:rsidRPr="00CD65D4" w:rsidRDefault="00CD65D4" w:rsidP="00CD65D4">
            <w:pPr>
              <w:jc w:val="center"/>
              <w:rPr>
                <w:rFonts w:ascii="Georgia" w:hAnsi="Georgia"/>
                <w:sz w:val="24"/>
                <w:szCs w:val="24"/>
                <w:lang w:val="id-ID"/>
              </w:rPr>
            </w:pPr>
          </w:p>
          <w:p w14:paraId="4D839318"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51.0</w:t>
            </w:r>
          </w:p>
          <w:p w14:paraId="4BAEDA28"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49.0</w:t>
            </w:r>
          </w:p>
        </w:tc>
        <w:tc>
          <w:tcPr>
            <w:tcW w:w="992" w:type="dxa"/>
            <w:tcBorders>
              <w:bottom w:val="single" w:sz="4" w:space="0" w:color="auto"/>
            </w:tcBorders>
          </w:tcPr>
          <w:p w14:paraId="0DF41397" w14:textId="77777777" w:rsidR="00CD65D4" w:rsidRPr="00CD65D4" w:rsidRDefault="00CD65D4" w:rsidP="00CD65D4">
            <w:pPr>
              <w:jc w:val="center"/>
              <w:rPr>
                <w:rFonts w:ascii="Georgia" w:hAnsi="Georgia"/>
                <w:sz w:val="24"/>
                <w:szCs w:val="24"/>
                <w:lang w:val="id-ID"/>
              </w:rPr>
            </w:pPr>
          </w:p>
          <w:p w14:paraId="67A04046"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15</w:t>
            </w:r>
          </w:p>
          <w:p w14:paraId="09CEB505"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36</w:t>
            </w:r>
          </w:p>
        </w:tc>
        <w:tc>
          <w:tcPr>
            <w:tcW w:w="992" w:type="dxa"/>
            <w:tcBorders>
              <w:bottom w:val="single" w:sz="4" w:space="0" w:color="auto"/>
            </w:tcBorders>
          </w:tcPr>
          <w:p w14:paraId="5A033065" w14:textId="77777777" w:rsidR="00CD65D4" w:rsidRPr="00CD65D4" w:rsidRDefault="00CD65D4" w:rsidP="00CD65D4">
            <w:pPr>
              <w:jc w:val="center"/>
              <w:rPr>
                <w:rFonts w:ascii="Georgia" w:hAnsi="Georgia"/>
                <w:sz w:val="24"/>
                <w:szCs w:val="24"/>
                <w:lang w:val="id-ID"/>
              </w:rPr>
            </w:pPr>
          </w:p>
          <w:p w14:paraId="476479A5"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29.4</w:t>
            </w:r>
          </w:p>
          <w:p w14:paraId="749B7871"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70.6</w:t>
            </w:r>
          </w:p>
        </w:tc>
        <w:tc>
          <w:tcPr>
            <w:tcW w:w="870" w:type="dxa"/>
            <w:tcBorders>
              <w:bottom w:val="single" w:sz="4" w:space="0" w:color="auto"/>
            </w:tcBorders>
            <w:vAlign w:val="center"/>
          </w:tcPr>
          <w:p w14:paraId="0B688E86"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0.043</w:t>
            </w:r>
          </w:p>
        </w:tc>
        <w:tc>
          <w:tcPr>
            <w:tcW w:w="1842" w:type="dxa"/>
            <w:tcBorders>
              <w:bottom w:val="single" w:sz="4" w:space="0" w:color="auto"/>
              <w:right w:val="nil"/>
            </w:tcBorders>
            <w:vAlign w:val="center"/>
          </w:tcPr>
          <w:p w14:paraId="45306DBE"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2.496</w:t>
            </w:r>
          </w:p>
          <w:p w14:paraId="6DEEDB4D" w14:textId="77777777" w:rsidR="00CD65D4" w:rsidRPr="00CD65D4" w:rsidRDefault="00CD65D4" w:rsidP="00CD65D4">
            <w:pPr>
              <w:jc w:val="center"/>
              <w:rPr>
                <w:rFonts w:ascii="Georgia" w:hAnsi="Georgia"/>
                <w:sz w:val="24"/>
                <w:szCs w:val="24"/>
                <w:lang w:val="id-ID"/>
              </w:rPr>
            </w:pPr>
            <w:r w:rsidRPr="00CD65D4">
              <w:rPr>
                <w:rFonts w:ascii="Georgia" w:hAnsi="Georgia"/>
                <w:sz w:val="24"/>
                <w:szCs w:val="24"/>
                <w:lang w:val="id-ID"/>
              </w:rPr>
              <w:t>(1.105-5.639)</w:t>
            </w:r>
          </w:p>
        </w:tc>
      </w:tr>
    </w:tbl>
    <w:p w14:paraId="55E21746" w14:textId="77777777" w:rsidR="0011025F" w:rsidRDefault="0011025F" w:rsidP="00CD65D4">
      <w:pPr>
        <w:spacing w:before="0"/>
        <w:rPr>
          <w:rFonts w:ascii="Georgia" w:hAnsi="Georgia"/>
          <w:sz w:val="24"/>
          <w:szCs w:val="24"/>
          <w:lang w:val="id-ID"/>
        </w:rPr>
      </w:pPr>
    </w:p>
    <w:p w14:paraId="22A77CA2" w14:textId="7742B9E2" w:rsidR="00CD65D4" w:rsidRPr="00CD65D4" w:rsidRDefault="00CD65D4" w:rsidP="00CD65D4">
      <w:pPr>
        <w:spacing w:before="0"/>
        <w:rPr>
          <w:rFonts w:ascii="Georgia" w:hAnsi="Georgia"/>
          <w:sz w:val="24"/>
          <w:szCs w:val="24"/>
          <w:lang w:val="id-ID"/>
        </w:rPr>
      </w:pPr>
      <w:r w:rsidRPr="00CD65D4">
        <w:rPr>
          <w:rFonts w:ascii="Georgia" w:hAnsi="Georgia"/>
          <w:sz w:val="24"/>
          <w:szCs w:val="24"/>
          <w:lang w:val="id-ID"/>
        </w:rPr>
        <w:t xml:space="preserve">Based on the results of chi-square analysis, it was found that there was a significant correlation between mother’s education and the incidence of stunting with p-value = 0.022 or α &lt; 0.05, low birth weight (LBW) with p-value = 0.000 or α &lt; 0.05, and history of infection with p-value 0.043 or α &lt; 0.05. As for household members, there is no significant correlation with stunting with p-value = 0.596 or α &gt; 0.05. Based on the results of risk analysis, it was found that the risk of stunting in mothers with low education was 2,988 times higher than those with high education with OR = 2,988 (CI=1.236-6.735). Whereas for a household member, the household member that was more than 4 people were 0.625 times higher than those have 4 or less with OR = 0.625 (CI=0.227-1.874). LBW is 10.444 </w:t>
      </w:r>
      <w:r w:rsidRPr="00CD65D4">
        <w:rPr>
          <w:rFonts w:ascii="Georgia" w:hAnsi="Georgia"/>
          <w:sz w:val="24"/>
          <w:szCs w:val="24"/>
          <w:lang w:val="id-ID"/>
        </w:rPr>
        <w:lastRenderedPageBreak/>
        <w:t>times more at risk than those born with normal weight with OR = 10.444 (CI = 3.276-33.300). Toddlers with a history of infection are at 2.496 times higher risk than those without a history of infection with OR = 2.496 (CI=1.105-5.639).</w:t>
      </w:r>
    </w:p>
    <w:p w14:paraId="537FDE70" w14:textId="77777777" w:rsidR="00001B39" w:rsidRDefault="00001B39" w:rsidP="00FA1785">
      <w:pPr>
        <w:spacing w:before="0"/>
        <w:rPr>
          <w:rFonts w:ascii="Georgia" w:hAnsi="Georgia"/>
          <w:b/>
          <w:sz w:val="24"/>
        </w:rPr>
      </w:pPr>
    </w:p>
    <w:p w14:paraId="6B855915" w14:textId="77777777" w:rsidR="00DB162F" w:rsidRDefault="00DB162F" w:rsidP="00FA1785">
      <w:pPr>
        <w:spacing w:before="0"/>
        <w:rPr>
          <w:rFonts w:ascii="Georgia" w:hAnsi="Georgia"/>
          <w:b/>
          <w:sz w:val="24"/>
        </w:rPr>
      </w:pPr>
      <w:r>
        <w:rPr>
          <w:rFonts w:ascii="Georgia" w:hAnsi="Georgia"/>
          <w:b/>
          <w:sz w:val="24"/>
        </w:rPr>
        <w:t>DISCUSSION</w:t>
      </w:r>
    </w:p>
    <w:p w14:paraId="2D4F02D5" w14:textId="4B9E15F8" w:rsidR="00CD65D4" w:rsidRPr="00CD65D4" w:rsidRDefault="00CD65D4" w:rsidP="00CD65D4">
      <w:pPr>
        <w:spacing w:before="0"/>
        <w:rPr>
          <w:rFonts w:ascii="Georgia" w:hAnsi="Georgia"/>
          <w:sz w:val="24"/>
        </w:rPr>
      </w:pPr>
      <w:r w:rsidRPr="00916E09">
        <w:rPr>
          <w:rFonts w:ascii="Georgia" w:hAnsi="Georgia"/>
          <w:sz w:val="24"/>
          <w:lang w:val="id-ID"/>
        </w:rPr>
        <w:t>This study shows that there is a significant association between mother's education and the</w:t>
      </w:r>
      <w:r w:rsidRPr="00CD65D4">
        <w:rPr>
          <w:rFonts w:ascii="Georgia" w:hAnsi="Georgia"/>
          <w:sz w:val="24"/>
          <w:lang w:val="id-ID"/>
        </w:rPr>
        <w:t xml:space="preserve"> incidence of stunting (p-value = 0.022 or &lt; 0.05) and mothers with lower education are 2.899 times more at risk than those with high education (OR = 2.889, CI = 1,236-6.735). These results are in line with research on the determinants of stunting in children in Indonesia which found that one of the determinants of stunting was low maternal education </w:t>
      </w:r>
      <w:r w:rsidRPr="00CD65D4">
        <w:rPr>
          <w:rFonts w:ascii="Georgia" w:hAnsi="Georgia"/>
          <w:sz w:val="24"/>
          <w:lang w:val="id-ID"/>
        </w:rPr>
        <w:fldChar w:fldCharType="begin" w:fldLock="1"/>
      </w:r>
      <w:r w:rsidR="00916E09">
        <w:rPr>
          <w:rFonts w:ascii="Georgia" w:hAnsi="Georgia"/>
          <w:sz w:val="24"/>
          <w:lang w:val="id-ID"/>
        </w:rPr>
        <w:instrText>ADDIN CSL_CITATION {"citationItems":[{"id":"ITEM-1","itemData":{"DOI":"10.1111/mcn.12617","ISSN":"17408709","PMID":"29770565","abstract":"Child stunting reduction is the first of 6 goals in the Global Nutrition Targets for 2025 and a key indicator in the second Sustainable Development Goal of Zero Hunger. The prevalence of child stunting in Indonesia has remained high over the past decade, and at the national level is approximately 37%. It is unclear whether current approaches to reduce child stunting align with the scientific evidence in Indonesia. We use the World Health Organization conceptual framework on child stunting to review the available literature and identify what has been studied and can be concluded about the determinants of child stunting in Indonesia and where data gaps remain. Consistent evidence suggests nonexclusive breastfeeding for the first 6 months, low household socio-economic status, premature birth, short birth length, and low maternal height and education are particularly important child stunting determinants in Indonesia. Children from households with both unimproved latrines and untreated drinking water are also at increased risk. Community and societal factors—particularly, poor access to health care and living in rural areas—have been repeatedly associated with child stunting. Published studies are lacking on how education; society and culture; agriculture and food systems; and water, sanitation, and the environment contribute to child stunting. This comprehensive synthesis of the available evidence on child stunting determinants in Indonesia outlines who are the most vulnerable to stunting, which interventions have been most successful, and what new research is needed to fill knowledge gaps.","author":[{"dropping-particle":"","family":"Beal","given":"Ty","non-dropping-particle":"","parse-names":false,"suffix":""},{"dropping-particle":"","family":"Tumilowicz","given":"Alison","non-dropping-particle":"","parse-names":false,"suffix":""},{"dropping-particle":"","family":"Sutrisna","given":"Aang","non-dropping-particle":"","parse-names":false,"suffix":""},{"dropping-particle":"","family":"Izwardy","given":"Doddy","non-dropping-particle":"","parse-names":false,"suffix":""},{"dropping-particle":"","family":"Neufeld","given":"Lynnette M.","non-dropping-particle":"","parse-names":false,"suffix":""}],"container-title":"Maternal and Child Nutrition","id":"ITEM-1","issue":"4","issued":{"date-parts":[["2018"]]},"page":"1-10","title":"A review of child stunting determinants in Indonesia","type":"article-journal","volume":"14"},"uris":["http://www.mendeley.com/documents/?uuid=44d0e9ac-0761-4f1f-9f1b-acf48378a272"]}],"mendeley":{"formattedCitation":"(Beal &lt;i&gt;et al.&lt;/i&gt;, 2018)","plainTextFormattedCitation":"(Beal et al., 2018)","previouslyFormattedCitation":"(Beal &lt;i&gt;et al.&lt;/i&gt;, 2018)"},"properties":{"noteIndex":0},"schema":"https://github.com/citation-style-language/schema/raw/master/csl-citation.json"}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 xml:space="preserve">(Beal </w:t>
      </w:r>
      <w:r w:rsidRPr="00CD65D4">
        <w:rPr>
          <w:rFonts w:ascii="Georgia" w:hAnsi="Georgia"/>
          <w:i/>
          <w:sz w:val="24"/>
          <w:lang w:val="id-ID"/>
        </w:rPr>
        <w:t>et al.</w:t>
      </w:r>
      <w:r w:rsidRPr="00CD65D4">
        <w:rPr>
          <w:rFonts w:ascii="Georgia" w:hAnsi="Georgia"/>
          <w:sz w:val="24"/>
          <w:lang w:val="id-ID"/>
        </w:rPr>
        <w:t>, 2018)</w:t>
      </w:r>
      <w:r w:rsidRPr="00CD65D4">
        <w:rPr>
          <w:rFonts w:ascii="Georgia" w:hAnsi="Georgia"/>
          <w:sz w:val="24"/>
          <w:lang w:val="id-ID"/>
        </w:rPr>
        <w:fldChar w:fldCharType="end"/>
      </w:r>
      <w:r w:rsidRPr="00CD65D4">
        <w:rPr>
          <w:rFonts w:ascii="Georgia" w:hAnsi="Georgia"/>
          <w:sz w:val="24"/>
          <w:lang w:val="id-ID"/>
        </w:rPr>
        <w:t xml:space="preserve">. Another study in Pakistan showed that mothers without formal education were more susceptible to nutritional disorders than those with formal education </w:t>
      </w:r>
      <w:r w:rsidRPr="00CD65D4">
        <w:rPr>
          <w:rFonts w:ascii="Georgia" w:hAnsi="Georgia"/>
          <w:sz w:val="24"/>
          <w:lang w:val="id-ID"/>
        </w:rPr>
        <w:fldChar w:fldCharType="begin" w:fldLock="1"/>
      </w:r>
      <w:r w:rsidR="00916E09">
        <w:rPr>
          <w:rFonts w:ascii="Georgia" w:hAnsi="Georgia"/>
          <w:sz w:val="24"/>
          <w:lang w:val="id-ID"/>
        </w:rPr>
        <w:instrText>ADDIN CSL_CITATION {"citationItems":[{"id":"ITEM-1","itemData":{"DOI":"10.1186/s12889-019-6688-2","ISSN":"14712458","PMID":"30935382","abstract":"Background: Childhood malnutrition is a critical public health concern in Pakistan. We aimed to explore factors associated with malnutrition in Pakistani children (&lt; 5 years of age) using the Pakistan Demographic and Health Survey (PDHS) 2012-2013. Methods: Sample of 3071 Pakistani children aged 0-59 months from the PDHS 2012-2013, with complete anthropometric measurements were included in the study. Nutritional status was evaluated using anthropometric indices; height-for-age, weight-for-height and weight-for-age, as proxy measures of three forms of under-five malnutrition including stunting, wasting and underweight respectively. Uni- and multivariate binary logistic regressions were used to examine the association between selected maternal-socio-demographic and child level variables (such as child sex, age, size at birth, antenatal clinic visits, recent diarrheal incidence and breastfeeding status) and three proxy measures of child nutritional status. Results: About 44.4% of under-five children were stunted, 29.4% were underweight and 10.7% were wasted. Children whose mothers lived in rural areas (aOR = 0.67, 95%CI 0.48-0.92), were aged ≥18 years at marriage (aOR = 0.76, 95%CI 0.59-0.99) and had visited antenatal clinic more than 3 times during pregnancy (aOR = 0.61, 95%CI 0.38-0.98) were less likely to be stunted. Mother's low educational level (aOR = 2.55, 95%CI 1.26-5.17), short stature (aOR = 2.31, 95%CI 1.34-3.98), child's small size at birth (aOR = 1.67, 95%CI 1.14-2.45) and mother's BMI were significantly associated with child's underweight status. Children whose mothers had no education were more likely to be wasted (aOR = 3.61, 95%CI 1.33-9.82). Conclusion: The study suggests that most of the analysed factors that accounted for malnutrition in Pakistani children (such as mother's age at marriage, educational level and mothers' nutritional status) are preventable. Therefore, to reduce the burden of malnutrition interventions that can address these factors are required such as community based education and targeted nutritional interventions.","author":[{"dropping-particle":"","family":"Khan","given":"Sadaf","non-dropping-particle":"","parse-names":false,"suffix":""},{"dropping-particle":"","family":"Zaheer","given":"Sidra","non-dropping-particle":"","parse-names":false,"suffix":""},{"dropping-particle":"","family":"Safdar","given":"Nilofer Fatimi","non-dropping-particle":"","parse-names":false,"suffix":""}],"container-title":"BMC Public Health","id":"ITEM-1","issue":"1","issued":{"date-parts":[["2019"]]},"page":"1-15","publisher":"BMC Public Health","title":"Determinants of stunting, underweight and wasting among children &lt; 5 years of age: Evidence from 2012-2013 Pakistan demographic and health survey","type":"article-journal","volume":"19"},"uris":["http://www.mendeley.com/documents/?uuid=150a3011-6ec8-4a84-861f-c11d0ab977f3"]}],"mendeley":{"formattedCitation":"(Khan, Zaheer dan Safdar, 2019)","plainTextFormattedCitation":"(Khan, Zaheer dan Safdar, 2019)","previouslyFormattedCitation":"(Khan, Zaheer dan Safdar, 2019)"},"properties":{"noteIndex":0},"schema":"https://github.com/citation-style-language/schema/raw/master/csl-citation.json"}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(Khan, Zaheer dan Safdar, 2019)</w:t>
      </w:r>
      <w:r w:rsidRPr="00CD65D4">
        <w:rPr>
          <w:rFonts w:ascii="Georgia" w:hAnsi="Georgia"/>
          <w:sz w:val="24"/>
          <w:lang w:val="id-ID"/>
        </w:rPr>
        <w:fldChar w:fldCharType="end"/>
      </w:r>
      <w:r w:rsidR="007514C0">
        <w:rPr>
          <w:rFonts w:ascii="Georgia" w:hAnsi="Georgia"/>
          <w:sz w:val="24"/>
          <w:lang w:val="id-ID"/>
        </w:rPr>
        <w:fldChar w:fldCharType="begin" w:fldLock="1"/>
      </w:r>
      <w:r w:rsidR="007D4256">
        <w:rPr>
          <w:rFonts w:ascii="Georgia" w:hAnsi="Georgia"/>
          <w:sz w:val="24"/>
          <w:lang w:val="id-ID"/>
        </w:rPr>
        <w:instrText>ADDIN CSL_CITATION {"citationItems":[{"id":"ITEM-1","itemData":{"ISBN":"1111111111","ISSN":"19326203","PMID":"30817794","abstract":"Background Nutrition outcomes among young children in Nigeria are among the worse globally. Mother's limited knowledge about food choices, feeding, and health care seeking practices contributes significantly to negative nutrition outcomes for children in most developing countries. Much less is known about the relationship between mother's nutrition-related knowledge and child nutritional outcomes in rural Nigeria. This paper investigates therefore: (i) the association of mother's nutrition-related knowledge with nutrition outcomes of young children living in rural Nigeria, where access to education is limited, and (ii) whether mother's education has a complementary effect on such knowledge in producing positive child nutrition outcomes in such settings. Methods Using the Demographic and Health Survey data for Nigeria, we employ both descriptive and regression analyses approaches in analyzing the study's objectives. In particular, we apply ordinary least square (OLS) to investigate the association of mother's nutrition-related knowledge with child HAZ and WHZ while controlling for maternal, child, household and regional characteristics. An index was constructed for mother's nutrition-related knowledge using information on dietary practices, disease treatment and prevention, child immunization, and family planning. Results We found that mother's knowledge is independently and positively associated with HAZ and WHZ scores in young children. Higher levels of mother's education, typically above primary, have a significant, positive association with child HAZ and WHZ scores. We argue that mother's knowledge of health and nutrition may substitute for education in reducing undernutrition in young children among populations with limited access to formal education. However, the present level of mother's education in rural Nigeria appears insufficient to reinforce knowledge in producing better nutrition outcomes for children. Conclusions This study suggests promotion of out-of-school (informal) education, such as adult literacy and numeracy classes where women without formal education can gain health and nutrition knowledge, and practices that could enhance child nutrition outcomes in Nigeria.","author":[{"dropping-particle":"","family":"Fadare O","given":"","non-dropping-particle":"","parse-names":false,"suffix":""},{"dropping-particle":"","family":"Amare M","given":"","non-dropping-particle":"","parse-names":false,"suffix":""},{"dropping-particle":"","family":"Mavrotas G","given":"","non-dropping-particle":"","parse-names":false,"suffix":""},{"dropping-particle":"","family":"Akerele D","given":"","non-dropping-particle":"","parse-names":false,"suffix":""},{"dropping-particle":"","family":"Ogunniyi A","given":"","non-dropping-particle":"","parse-names":false,"suffix":""}],"container-title":"PLoS ONE","id":"ITEM-1","issued":{"date-parts":[["2019"]]},"page":"1-17","title":"Mother's nutrition-related knowledge and child nutrition outcomes: Empirical evidence from Nigeria","type":"article-journal","volume":"14"},"uris":["http://www.mendeley.com/documents/?uuid=886725da-deca-41dc-9be5-6ad2d5d2d24c"]}],"mendeley":{"formattedCitation":"(Fadare O &lt;i&gt;et al.&lt;/i&gt;, 2019)","plainTextFormattedCitation":"(Fadare O et al., 2019)","previouslyFormattedCitation":"(Fadare O &lt;i&gt;et al.&lt;/i&gt;, 2019)"},"properties":{"noteIndex":0},"schema":"https://github.com/citation-style-language/schema/raw/master/csl-citation.json"}</w:instrText>
      </w:r>
      <w:r w:rsidR="007514C0">
        <w:rPr>
          <w:rFonts w:ascii="Georgia" w:hAnsi="Georgia"/>
          <w:sz w:val="24"/>
          <w:lang w:val="id-ID"/>
        </w:rPr>
        <w:fldChar w:fldCharType="separate"/>
      </w:r>
      <w:r w:rsidR="007514C0" w:rsidRPr="007514C0">
        <w:rPr>
          <w:rFonts w:ascii="Georgia" w:hAnsi="Georgia"/>
          <w:sz w:val="24"/>
          <w:lang w:val="id-ID"/>
        </w:rPr>
        <w:t xml:space="preserve">(Fadare O </w:t>
      </w:r>
      <w:r w:rsidR="007514C0" w:rsidRPr="007514C0">
        <w:rPr>
          <w:rFonts w:ascii="Georgia" w:hAnsi="Georgia"/>
          <w:i/>
          <w:sz w:val="24"/>
          <w:lang w:val="id-ID"/>
        </w:rPr>
        <w:t>et al.</w:t>
      </w:r>
      <w:r w:rsidR="007514C0" w:rsidRPr="007514C0">
        <w:rPr>
          <w:rFonts w:ascii="Georgia" w:hAnsi="Georgia"/>
          <w:sz w:val="24"/>
          <w:lang w:val="id-ID"/>
        </w:rPr>
        <w:t>, 2019)</w:t>
      </w:r>
      <w:r w:rsidR="007514C0">
        <w:rPr>
          <w:rFonts w:ascii="Georgia" w:hAnsi="Georgia"/>
          <w:sz w:val="24"/>
          <w:lang w:val="id-ID"/>
        </w:rPr>
        <w:fldChar w:fldCharType="end"/>
      </w:r>
      <w:r w:rsidRPr="00CD65D4">
        <w:rPr>
          <w:rFonts w:ascii="Georgia" w:hAnsi="Georgia"/>
          <w:sz w:val="24"/>
          <w:lang w:val="id-ID"/>
        </w:rPr>
        <w:t>. A mother's education can show her capacity in terms of knowledge. Avoiding stunting in children requires adequate knowledge. Fulfillment of nutrition from pregnancy to toddler age needs to be supported by family knowledge and awareness. If a mother knows the importance of exclusive breastfeeding, then she will try to continue to maintain it until her child is 6 months old. on the other hand, if she does not know it, then there is no motivation to do it. A study conducted in Nigeria found that mother's knowledge had a positive effect on the nutritional status of children</w:t>
      </w:r>
      <w:r w:rsidRPr="00CD65D4">
        <w:rPr>
          <w:rFonts w:ascii="Georgia" w:hAnsi="Georgia"/>
          <w:sz w:val="24"/>
          <w:lang w:val="id-ID"/>
        </w:rPr>
        <w:fldChar w:fldCharType="begin" w:fldLock="1"/>
      </w:r>
      <w:r w:rsidR="00916E09">
        <w:rPr>
          <w:rFonts w:ascii="Georgia" w:hAnsi="Georgia"/>
          <w:sz w:val="24"/>
          <w:lang w:val="id-ID"/>
        </w:rPr>
        <w:instrText>ADDIN CSL_CITATION {"citationItems":[{"id":"ITEM-1","itemData":{"ISBN":"1111111111","ISSN":"19326203","PMID":"30817794","abstract":"Background Nutrition outcomes among young children in Nigeria are among the worse globally. Mother's limited knowledge about food choices, feeding, and health care seeking practices contributes significantly to negative nutrition outcomes for children in most developing countries. Much less is known about the relationship between mother's nutrition-related knowledge and child nutritional outcomes in rural Nigeria. This paper investigates therefore: (i) the association of mother's nutrition-related knowledge with nutrition outcomes of young children living in rural Nigeria, where access to education is limited, and (ii) whether mother's education has a complementary effect on such knowledge in producing positive child nutrition outcomes in such settings. Methods Using the Demographic and Health Survey data for Nigeria, we employ both descriptive and regression analyses approaches in analyzing the study's objectives. In particular, we apply ordinary least square (OLS) to investigate the association of mother's nutrition-related knowledge with child HAZ and WHZ while controlling for maternal, child, household and regional characteristics. An index was constructed for mother's nutrition-related knowledge using information on dietary practices, disease treatment and prevention, child immunization, and family planning. Results We found that mother's knowledge is independently and positively associated with HAZ and WHZ scores in young children. Higher levels of mother's education, typically above primary, have a significant, positive association with child HAZ and WHZ scores. We argue that mother's knowledge of health and nutrition may substitute for education in reducing undernutrition in young children among populations with limited access to formal education. However, the present level of mother's education in rural Nigeria appears insufficient to reinforce knowledge in producing better nutrition outcomes for children. Conclusions This study suggests promotion of out-of-school (informal) education, such as adult literacy and numeracy classes where women without formal education can gain health and nutrition knowledge, and practices that could enhance child nutrition outcomes in Nigeria.","author":[{"dropping-particle":"","family":"Fadare O","given":"","non-dropping-particle":"","parse-names":false,"suffix":""},{"dropping-particle":"","family":"Amare M","given":"","non-dropping-particle":"","parse-names":false,"suffix":""},{"dropping-particle":"","family":"Mavrotas G","given":"","non-dropping-particle":"","parse-names":false,"suffix":""},{"dropping-particle":"","family":"Akerele D","given":"","non-dropping-particle":"","parse-names":false,"suffix":""},{"dropping-particle":"","family":"Ogunniyi A","given":"","non-dropping-particle":"","parse-names":false,"suffix":""}],"container-title":"PLoS ONE","id":"ITEM-1","issued":{"date-parts":[["2019"]]},"page":"1-17","title":"Mother's nutrition-related knowledge and child nutrition outcomes: Empirical evidence from Nigeria","type":"article-journal","volume":"14"},"uris":["http://www.mendeley.com/documents/?uuid=886725da-deca-41dc-9be5-6ad2d5d2d24c"]}],"mendeley":{"formattedCitation":"(Fadare O &lt;i&gt;et al.&lt;/i&gt;, 2019)","plainTextFormattedCitation":"(Fadare O et al., 2019)","previouslyFormattedCitation":"(Fadare O &lt;i&gt;et al.&lt;/i&gt;, 2019)"},"properties":{"noteIndex":0},"schema":"https://github.com/citation-style-language/schema/raw/master/csl-citation.json"}</w:instrText>
      </w:r>
      <w:r w:rsidRPr="00CD65D4">
        <w:rPr>
          <w:rFonts w:ascii="Georgia" w:hAnsi="Georgia"/>
          <w:sz w:val="24"/>
          <w:lang w:val="id-ID"/>
        </w:rPr>
        <w:fldChar w:fldCharType="separate"/>
      </w:r>
      <w:r w:rsidRPr="00CD65D4">
        <w:rPr>
          <w:rFonts w:ascii="Georgia" w:hAnsi="Georgia"/>
          <w:sz w:val="24"/>
          <w:lang w:val="id-ID"/>
        </w:rPr>
        <w:t xml:space="preserve">(Fadare O </w:t>
      </w:r>
      <w:r w:rsidRPr="00CD65D4">
        <w:rPr>
          <w:rFonts w:ascii="Georgia" w:hAnsi="Georgia"/>
          <w:i/>
          <w:sz w:val="24"/>
          <w:lang w:val="id-ID"/>
        </w:rPr>
        <w:t>et al.</w:t>
      </w:r>
      <w:r w:rsidRPr="00CD65D4">
        <w:rPr>
          <w:rFonts w:ascii="Georgia" w:hAnsi="Georgia"/>
          <w:sz w:val="24"/>
          <w:lang w:val="id-ID"/>
        </w:rPr>
        <w:t>, 2019)</w:t>
      </w:r>
      <w:r w:rsidRPr="00CD65D4">
        <w:rPr>
          <w:rFonts w:ascii="Georgia" w:hAnsi="Georgia"/>
          <w:sz w:val="24"/>
          <w:lang w:val="id-ID"/>
        </w:rPr>
        <w:fldChar w:fldCharType="end"/>
      </w:r>
      <w:r w:rsidRPr="00CD65D4">
        <w:rPr>
          <w:rFonts w:ascii="Georgia" w:hAnsi="Georgia"/>
          <w:sz w:val="24"/>
          <w:lang w:val="id-ID"/>
        </w:rPr>
        <w:t xml:space="preserve">. Therefore, the education of mothers or prospective mothers needs to be considered by all parties. </w:t>
      </w:r>
      <w:r w:rsidR="007D4256">
        <w:rPr>
          <w:rFonts w:ascii="Georgia" w:hAnsi="Georgia"/>
          <w:sz w:val="24"/>
          <w:lang w:val="id-ID"/>
        </w:rPr>
        <w:t>F</w:t>
      </w:r>
      <w:r w:rsidRPr="00CD65D4">
        <w:rPr>
          <w:rFonts w:ascii="Georgia" w:hAnsi="Georgia"/>
          <w:sz w:val="24"/>
          <w:lang w:val="id-ID"/>
        </w:rPr>
        <w:t>or mothers with low education, increasing knowledge can be done by counseling and mentoring nutritional problems to prevent nutritional disorders in children, especially stunting.</w:t>
      </w:r>
    </w:p>
    <w:p w14:paraId="5D7D3F59" w14:textId="132DECA0" w:rsidR="00CD65D4" w:rsidRDefault="00CD65D4" w:rsidP="00CD65D4">
      <w:pPr>
        <w:spacing w:before="0"/>
        <w:rPr>
          <w:rFonts w:ascii="Georgia" w:hAnsi="Georgia"/>
          <w:sz w:val="24"/>
          <w:lang w:val="id-ID"/>
        </w:rPr>
      </w:pPr>
      <w:r w:rsidRPr="00CD65D4">
        <w:rPr>
          <w:rFonts w:ascii="Georgia" w:hAnsi="Georgia"/>
          <w:sz w:val="24"/>
          <w:lang w:val="id-ID"/>
        </w:rPr>
        <w:t>Household member in this study had no significant effect on stunting with p-value = 0.596, and OR = 0.652 (CI=0.227-1.874).</w:t>
      </w:r>
      <w:r w:rsidR="00F632E9">
        <w:rPr>
          <w:rFonts w:ascii="Georgia" w:hAnsi="Georgia"/>
          <w:sz w:val="24"/>
          <w:lang w:val="id-ID"/>
        </w:rPr>
        <w:t xml:space="preserve"> </w:t>
      </w:r>
      <w:r w:rsidR="007D4256" w:rsidRPr="007D4256">
        <w:rPr>
          <w:rFonts w:ascii="Georgia" w:hAnsi="Georgia"/>
          <w:sz w:val="24"/>
          <w:lang w:val="id-ID"/>
        </w:rPr>
        <w:t>The results of this study show different results from research conducted on toddlers in Sumatra which shows that the dominant factor associated with stunting is household members</w:t>
      </w:r>
      <w:r w:rsidR="007D4256">
        <w:rPr>
          <w:rFonts w:ascii="Georgia" w:hAnsi="Georgia"/>
          <w:sz w:val="24"/>
          <w:lang w:val="id-ID"/>
        </w:rPr>
        <w:t xml:space="preserve"> </w:t>
      </w:r>
      <w:r w:rsidR="007D4256">
        <w:rPr>
          <w:rFonts w:ascii="Georgia" w:hAnsi="Georgia"/>
          <w:sz w:val="24"/>
          <w:lang w:val="id-ID"/>
        </w:rPr>
        <w:fldChar w:fldCharType="begin" w:fldLock="1"/>
      </w:r>
      <w:r w:rsidR="007D4256">
        <w:rPr>
          <w:rFonts w:ascii="Georgia" w:hAnsi="Georgia"/>
          <w:sz w:val="24"/>
          <w:lang w:val="id-ID"/>
        </w:rPr>
        <w:instrText>ADDIN CSL_CITATION {"citationItems":[{"id":"ITEM-1","itemData":{"DOI":"10.25182/jgp.2013.8.3.177-180","ISSN":"1978-1059","abstract":"This study was aimed to analyze risk factors of stunting in underfive children aged 24—59 months in Sumatera. A cross sectional study was conducted in 1 239 children at Aceh, North Sumatera, South Sumatera, and Lampung Provinces who have complete variable data of the National Basic Health Research 2010. The data were collected by questionnaires and anthropometric assessment. Chi square analysis and logistic regression were used to assess the association between risk factors and stunting in children. The result showed that prevalence of stunting among children were 44.1%. The significant risk factors of stunting among subjects (p&amp;lt;0.05) were mother’s height (OR=1.36), fat intake (OR=1.30), family size (OR=1.38), and drinking water resources (OR=1.36). The dominant factor that associated with stunting in children was family size (OR=1.38). Researcher suggest that family can control total children with family planning program.&lt;br /&gt;&lt;br /&gt;&lt;br /&gt;","author":[{"dropping-particle":"","family":"Oktarina","given":"Zilda","non-dropping-particle":"","parse-names":false,"suffix":""},{"dropping-particle":"","family":"Sudiarti","given":"Trini","non-dropping-particle":"","parse-names":false,"suffix":""}],"container-title":"Jurnal Gizi dan Pangan","id":"ITEM-1","issue":"3","issued":{"date-parts":[["2014"]]},"page":"177","title":"Faktor Risiko Stunting Pada Balita (24—59 Bulan) Di Sumatera","type":"article-journal","volume":"8"},"uris":["http://www.mendeley.com/documents/?uuid=a742bc24-4f6d-4638-b325-45e5ad35b962"]}],"mendeley":{"formattedCitation":"(Oktarina dan Sudiarti, 2014)","plainTextFormattedCitation":"(Oktarina dan Sudiarti, 2014)","previouslyFormattedCitation":"(Oktarina dan Sudiarti, 2014)"},"properties":{"noteIndex":0},"schema":"https://github.com/citation-style-language/schema/raw/master/csl-citation.json"}</w:instrText>
      </w:r>
      <w:r w:rsidR="007D4256">
        <w:rPr>
          <w:rFonts w:ascii="Georgia" w:hAnsi="Georgia"/>
          <w:sz w:val="24"/>
          <w:lang w:val="id-ID"/>
        </w:rPr>
        <w:fldChar w:fldCharType="separate"/>
      </w:r>
      <w:r w:rsidR="007D4256" w:rsidRPr="007D4256">
        <w:rPr>
          <w:rFonts w:ascii="Georgia" w:hAnsi="Georgia"/>
          <w:sz w:val="24"/>
          <w:lang w:val="id-ID"/>
        </w:rPr>
        <w:t>(Oktarina dan Sudiarti, 2014)</w:t>
      </w:r>
      <w:r w:rsidR="007D4256">
        <w:rPr>
          <w:rFonts w:ascii="Georgia" w:hAnsi="Georgia"/>
          <w:sz w:val="24"/>
          <w:lang w:val="id-ID"/>
        </w:rPr>
        <w:fldChar w:fldCharType="end"/>
      </w:r>
      <w:r w:rsidR="007D4256" w:rsidRPr="007D4256">
        <w:rPr>
          <w:rFonts w:ascii="Georgia" w:hAnsi="Georgia"/>
          <w:sz w:val="24"/>
          <w:lang w:val="id-ID"/>
        </w:rPr>
        <w:t>.</w:t>
      </w:r>
      <w:r w:rsidR="007D4256">
        <w:rPr>
          <w:rFonts w:ascii="Georgia" w:hAnsi="Georgia"/>
          <w:sz w:val="24"/>
          <w:lang w:val="id-ID"/>
        </w:rPr>
        <w:t xml:space="preserve"> </w:t>
      </w:r>
      <w:r w:rsidR="007D4256" w:rsidRPr="007D4256">
        <w:rPr>
          <w:rFonts w:ascii="Georgia" w:hAnsi="Georgia"/>
          <w:sz w:val="24"/>
          <w:lang w:val="id-ID"/>
        </w:rPr>
        <w:t>Based on these results, we assume that household members do not have a direct influence on saturation, but can be the second factor that plays a role in the main factor. With these results, we suggest that there are further researchers who can investigate more deeply the influence of household members on stunting so that they can enrich scientific knowledge.</w:t>
      </w:r>
    </w:p>
    <w:p w14:paraId="1BF2F3E5" w14:textId="6809A5C8" w:rsidR="00F632E9" w:rsidRDefault="007D4256" w:rsidP="00CD65D4">
      <w:pPr>
        <w:spacing w:before="0"/>
        <w:rPr>
          <w:rFonts w:ascii="Georgia" w:hAnsi="Georgia"/>
          <w:sz w:val="24"/>
          <w:lang w:val="id-ID"/>
        </w:rPr>
      </w:pPr>
      <w:r>
        <w:rPr>
          <w:rFonts w:ascii="Georgia" w:hAnsi="Georgia"/>
          <w:sz w:val="24"/>
          <w:lang w:val="id-ID"/>
        </w:rPr>
        <w:t>H</w:t>
      </w:r>
      <w:r w:rsidR="00F632E9" w:rsidRPr="00F632E9">
        <w:rPr>
          <w:rFonts w:ascii="Georgia" w:hAnsi="Georgia"/>
          <w:sz w:val="24"/>
        </w:rPr>
        <w:t>istory of LBW ha</w:t>
      </w:r>
      <w:r w:rsidR="00677C05">
        <w:rPr>
          <w:rFonts w:ascii="Georgia" w:hAnsi="Georgia"/>
          <w:sz w:val="24"/>
          <w:lang w:val="id-ID"/>
        </w:rPr>
        <w:t>d</w:t>
      </w:r>
      <w:r w:rsidR="00F632E9" w:rsidRPr="00F632E9">
        <w:rPr>
          <w:rFonts w:ascii="Georgia" w:hAnsi="Georgia"/>
          <w:sz w:val="24"/>
        </w:rPr>
        <w:t xml:space="preserve"> a significant effect on the incidence of stunting with p-value = 0.000 and OR = 10.444 (CI = 3.276-33.300)</w:t>
      </w:r>
      <w:r w:rsidR="00F632E9">
        <w:rPr>
          <w:rFonts w:ascii="Georgia" w:hAnsi="Georgia"/>
          <w:sz w:val="24"/>
          <w:lang w:val="id-ID"/>
        </w:rPr>
        <w:t xml:space="preserve">. </w:t>
      </w:r>
      <w:r w:rsidR="00677C05">
        <w:rPr>
          <w:rFonts w:ascii="Georgia" w:hAnsi="Georgia"/>
          <w:sz w:val="24"/>
          <w:lang w:val="id-ID"/>
        </w:rPr>
        <w:t>A</w:t>
      </w:r>
      <w:r w:rsidR="00357B9A" w:rsidRPr="00357B9A">
        <w:rPr>
          <w:rFonts w:ascii="Georgia" w:hAnsi="Georgia"/>
          <w:sz w:val="24"/>
          <w:lang w:val="id-ID"/>
        </w:rPr>
        <w:t xml:space="preserve"> study aimed to analyze risk factors and various nutrients associated with stunting among children aged 6–60 months, found that LBW is the main risk factor contributing to stunting and is strongly associated with low zinc level</w:t>
      </w:r>
      <w:r>
        <w:rPr>
          <w:rFonts w:ascii="Georgia" w:hAnsi="Georgia"/>
          <w:sz w:val="24"/>
          <w:lang w:val="id-ID"/>
        </w:rPr>
        <w:t>s</w:t>
      </w:r>
      <w:r w:rsidR="00357B9A">
        <w:rPr>
          <w:rFonts w:ascii="Georgia" w:hAnsi="Georgia"/>
          <w:sz w:val="24"/>
          <w:lang w:val="id-ID"/>
        </w:rPr>
        <w:t xml:space="preserve"> </w:t>
      </w:r>
      <w:r w:rsidR="00357B9A">
        <w:rPr>
          <w:rFonts w:ascii="Georgia" w:hAnsi="Georgia"/>
          <w:sz w:val="24"/>
          <w:lang w:val="id-ID"/>
        </w:rPr>
        <w:fldChar w:fldCharType="begin" w:fldLock="1"/>
      </w:r>
      <w:r w:rsidR="00781029">
        <w:rPr>
          <w:rFonts w:ascii="Georgia" w:hAnsi="Georgia"/>
          <w:sz w:val="24"/>
          <w:lang w:val="id-ID"/>
        </w:rPr>
        <w:instrText>ADDIN CSL_CITATION {"citationItems":[{"id":"ITEM-1","itemData":{"DOI":"10.5223/PGHN.2020.23.5.457","ISBN":"0000000286343","ISSN":"22348840","abstract":"Purpose: To analyze risk factors and various nutrients associated with stunting among children aged 6-60 months. Methods: This is a case-control and cross-sectional study between 40 stunting cases and 40 controls. Data on possible risk factors associated with stunting were obtained through direct interviews and using a questionnaire. Examination of vitamin D, zinc, albumin, and ferritin levels was performed on both groups. Data were analyzed using IBM SPSS Statistics for Windows, Version 23.0 (IBM Co., Armonk, NY, USA) to determine risk factors for stunting and to assess the relationship between nutritional levels and stunting. Results: The incidence of stunting was highest in children aged 12-36 months. Children with low weight and very low weight for age comprised of 55% and 22.5%, respectively, of the study participants. The highest mother's educational level was junior high school (40%). History of low birth weight (LBW) was more commonly observed in the stunting group than that in the control group (25.0% and 7.5%, respectively; p=0.034, odds ratio, 0.310 [95% confidence interval, 0.122-0.789]). Approximately 7.5% of cases had premature birth. Exclusive breast feeding was found to be not correlated with stunting. The mean zinc level in the stunting group was 34.17 ng/mL, which was different from that in the control group (50.83 ng/mL) (p=0.023). Blood ferritin, vitamin D, albumin, and calcium levels were not strongly correlated with stunting. Conclusion: LBW is the main risk factor contributing to stunting and is strongly associated with low zinc level.","author":[{"dropping-particle":"","family":"Bahagia Febriani","given":"Andi Dwi","non-dropping-particle":"","parse-names":false,"suffix":""},{"dropping-particle":"","family":"Daud","given":"Dasril","non-dropping-particle":"","parse-names":false,"suffix":""},{"dropping-particle":"","family":"Rauf","given":"Syarifuddin","non-dropping-particle":"","parse-names":false,"suffix":""},{"dropping-particle":"","family":"Nawing","given":"Herry Demokrasi","non-dropping-particle":"","parse-names":false,"suffix":""},{"dropping-particle":"","family":"Ganda","given":"Idham Jaya","non-dropping-particle":"","parse-names":false,"suffix":""},{"dropping-particle":"","family":"Salekede","given":"Setia Budi","non-dropping-particle":"","parse-names":false,"suffix":""},{"dropping-particle":"","family":"Angriani","given":"Hadia","non-dropping-particle":"","parse-names":false,"suffix":""},{"dropping-particle":"","family":"Maddeppungeng","given":"Martira","non-dropping-particle":"","parse-names":false,"suffix":""},{"dropping-particle":"","family":"Juliaty","given":"Aidah","non-dropping-particle":"","parse-names":false,"suffix":""},{"dropping-particle":"","family":"Alasiry","given":"Ema","non-dropping-particle":"","parse-names":false,"suffix":""},{"dropping-particle":"","family":"Artaty","given":"Ratna Dewi","non-dropping-particle":"","parse-names":false,"suffix":""},{"dropping-particle":"","family":"Lawang","given":"St Aizah","non-dropping-particle":"","parse-names":false,"suffix":""},{"dropping-particle":"","family":"Ridha","given":"Nadirah Rasyid","non-dropping-particle":"","parse-names":false,"suffix":""},{"dropping-particle":"","family":"Laompo","given":"Amiruddin","non-dropping-particle":"","parse-names":false,"suffix":""},{"dropping-particle":"","family":"Rahimi","given":"Rahmawaty","non-dropping-particle":"","parse-names":false,"suffix":""},{"dropping-particle":"","family":"Aras","given":"Jusli","non-dropping-particle":"","parse-names":false,"suffix":""},{"dropping-particle":"","family":"Sarmila","given":"Besse","non-dropping-particle":"","parse-names":false,"suffix":""}],"container-title":"Pediatric Gastroenterology, Hepatology and Nutrition","id":"ITEM-1","issue":"5","issued":{"date-parts":[["2020"]]},"page":"457-463","title":"Risk factors and nutritional profiles associated with stunting in children","type":"article-journal","volume":"23"},"uris":["http://www.mendeley.com/documents/?uuid=ce2c5243-6cca-4f5c-9871-dd39ac1fe02a"]}],"mendeley":{"formattedCitation":"(Bahagia Febriani &lt;i&gt;et al.&lt;/i&gt;, 2020)","plainTextFormattedCitation":"(Bahagia Febriani et al., 2020)","previouslyFormattedCitation":"(Bahagia Febriani &lt;i&gt;et al.&lt;/i&gt;, 2020)"},"properties":{"noteIndex":0},"schema":"https://github.com/citation-style-language/schema/raw/master/csl-citation.json"}</w:instrText>
      </w:r>
      <w:r w:rsidR="00357B9A">
        <w:rPr>
          <w:rFonts w:ascii="Georgia" w:hAnsi="Georgia"/>
          <w:sz w:val="24"/>
          <w:lang w:val="id-ID"/>
        </w:rPr>
        <w:fldChar w:fldCharType="separate"/>
      </w:r>
      <w:r w:rsidR="00357B9A" w:rsidRPr="00357B9A">
        <w:rPr>
          <w:rFonts w:ascii="Georgia" w:hAnsi="Georgia"/>
          <w:sz w:val="24"/>
          <w:lang w:val="id-ID"/>
        </w:rPr>
        <w:t xml:space="preserve">(Bahagia Febriani </w:t>
      </w:r>
      <w:r w:rsidR="00357B9A" w:rsidRPr="00357B9A">
        <w:rPr>
          <w:rFonts w:ascii="Georgia" w:hAnsi="Georgia"/>
          <w:i/>
          <w:sz w:val="24"/>
          <w:lang w:val="id-ID"/>
        </w:rPr>
        <w:t>et al.</w:t>
      </w:r>
      <w:r w:rsidR="00357B9A" w:rsidRPr="00357B9A">
        <w:rPr>
          <w:rFonts w:ascii="Georgia" w:hAnsi="Georgia"/>
          <w:sz w:val="24"/>
          <w:lang w:val="id-ID"/>
        </w:rPr>
        <w:t>, 2020)</w:t>
      </w:r>
      <w:r w:rsidR="00357B9A">
        <w:rPr>
          <w:rFonts w:ascii="Georgia" w:hAnsi="Georgia"/>
          <w:sz w:val="24"/>
          <w:lang w:val="id-ID"/>
        </w:rPr>
        <w:fldChar w:fldCharType="end"/>
      </w:r>
      <w:r w:rsidR="00357B9A" w:rsidRPr="00357B9A">
        <w:rPr>
          <w:rFonts w:ascii="Georgia" w:hAnsi="Georgia"/>
          <w:sz w:val="24"/>
          <w:lang w:val="id-ID"/>
        </w:rPr>
        <w:t>.</w:t>
      </w:r>
      <w:r w:rsidR="00781029">
        <w:rPr>
          <w:rFonts w:ascii="Georgia" w:hAnsi="Georgia"/>
          <w:sz w:val="24"/>
          <w:lang w:val="id-ID"/>
        </w:rPr>
        <w:t xml:space="preserve"> </w:t>
      </w:r>
      <w:r w:rsidR="00323DBF">
        <w:rPr>
          <w:rFonts w:ascii="Georgia" w:hAnsi="Georgia"/>
          <w:sz w:val="24"/>
          <w:lang w:val="id-ID"/>
        </w:rPr>
        <w:t>A</w:t>
      </w:r>
      <w:r w:rsidR="00781029" w:rsidRPr="00781029">
        <w:rPr>
          <w:rFonts w:ascii="Georgia" w:hAnsi="Georgia"/>
          <w:sz w:val="24"/>
          <w:lang w:val="id-ID"/>
        </w:rPr>
        <w:t>nother study showed that LBW was a predictor of stunting in children aged 0-11 months</w:t>
      </w:r>
      <w:r w:rsidR="00781029">
        <w:rPr>
          <w:rFonts w:ascii="Georgia" w:hAnsi="Georgia"/>
          <w:sz w:val="24"/>
          <w:lang w:val="id-ID"/>
        </w:rPr>
        <w:t xml:space="preserve"> </w:t>
      </w:r>
      <w:r w:rsidR="00781029">
        <w:rPr>
          <w:rFonts w:ascii="Georgia" w:hAnsi="Georgia"/>
          <w:sz w:val="24"/>
          <w:lang w:val="id-ID"/>
        </w:rPr>
        <w:fldChar w:fldCharType="begin" w:fldLock="1"/>
      </w:r>
      <w:r w:rsidR="009D49B1">
        <w:rPr>
          <w:rFonts w:ascii="Georgia" w:hAnsi="Georgia"/>
          <w:sz w:val="24"/>
          <w:lang w:val="id-ID"/>
        </w:rPr>
        <w:instrText>ADDIN CSL_CITATION {"citationItems":[{"id":"ITEM-1","itemData":{"DOI":"10.1371/journal.pone.0254662","ISBN":"1111111111","ISSN":"19326203","PMID":"34260622","abstract":"Background Childhood stunting remains the most challenging consequence of undernutrition because it is associated with suboptimal brain development and the subsequent increased risk of metabolic diseases and decreased earnings in adult life. The Sambas District in Indonesia has a high prevalence of stunting (28.4%), followed by underweight (25.5.%) and wasting (14.4%) among children, as well chronic energy deficiency (27%) and anemia (62%) among pregnant women. The present study sought to determine significant factors in childhood stunting with a focus on maternal and child nutrition and prenatal and postnatal determinants. Methods This prospective, repeat, cross-sectional study investigated factors associated with stunting among 559 infants age 0–11 months in Sambas District, Indonesia. Anthropometric measurements were performed by trained enumerators. Data from a 2016 survey of pregnant women and a 2017 survey on mothers and their children were used for postnatal data collection to quantify the prevalence of stunting at age 0–11 months. Using 20 potential predictors of stunting categorized by household characteristics, maternal characteristics, antenatal care services, and child characteristics, logistic regression analysis was conducted to assess the adjusted association between stunting and these factors. Results Of 559 children analyzed, 20.8% were stunted. In the model with low birth weight (LBW) as predictor for stunting, the odds of stunting increased significantly among children who weighed &lt;2.500 g at birth; children who had diarrhea in the past 2 weeks and children who had incomplete basic immunization coverage as infants age 9–11 months. In model without LBW, the odds of stunting increased significantly among children who had preterm at birth, short maternal stature and children who had incomplete basic immunization coverage for 9–11 months infants. Conclusions Postnatal factors—preterm birth, low birth weight, diarrhea and complete basic immunization coverage—were associated with infant stunting in Sambas District, Indonesia. The prenatal factors such as short maternal stature were significant in the multivariate model. Policy makers, especially in the government, should recommend measures focused on those prenatal and postnatal factors to prevent stunting in children and to avoid the sequelae of childhood stunting in adult life.","author":[{"dropping-particle":"","family":"Sartika","given":"Arindah Nur","non-dropping-particle":"","parse-names":false,"suffix":""},{"dropping-particle":"","family":"Khoirunnisa","given":"Meirina","non-dropping-particle":"","parse-names":false,"suffix":""},{"dropping-particle":"","family":"Meiyetriani","given":"Eflita","non-dropping-particle":"","parse-names":false,"suffix":""},{"dropping-particle":"","family":"Ermayani","given":"Evi","non-dropping-particle":"","parse-names":false,"suffix":""},{"dropping-particle":"","family":"Pramesthi","given":"Indriya Laras","non-dropping-particle":"","parse-names":false,"suffix":""},{"dropping-particle":"","family":"Nur Ananda","given":"Aziz Jati","non-dropping-particle":"","parse-names":false,"suffix":""}],"container-title":"PLoS ONE","id":"ITEM-1","issue":"7 July","issued":{"date-parts":[["2021"]]},"page":"1-14","title":"Prenatal and postnatal determinants of stunting at age 0–11 months: A cross-sectional study in Indonesia","type":"article-journal","volume":"16"},"uris":["http://www.mendeley.com/documents/?uuid=7106aacc-514e-429d-952e-a5d14bf7cd4f"]}],"mendeley":{"formattedCitation":"(Sartika &lt;i&gt;et al.&lt;/i&gt;, 2021)","plainTextFormattedCitation":"(Sartika et al., 2021)","previouslyFormattedCitation":"(Sartika &lt;i&gt;et al.&lt;/i&gt;, 2021)"},"properties":{"noteIndex":0},"schema":"https://github.com/citation-style-language/schema/raw/master/csl-citation.json"}</w:instrText>
      </w:r>
      <w:r w:rsidR="00781029">
        <w:rPr>
          <w:rFonts w:ascii="Georgia" w:hAnsi="Georgia"/>
          <w:sz w:val="24"/>
          <w:lang w:val="id-ID"/>
        </w:rPr>
        <w:fldChar w:fldCharType="separate"/>
      </w:r>
      <w:r w:rsidR="00781029" w:rsidRPr="00781029">
        <w:rPr>
          <w:rFonts w:ascii="Georgia" w:hAnsi="Georgia"/>
          <w:sz w:val="24"/>
          <w:lang w:val="id-ID"/>
        </w:rPr>
        <w:t xml:space="preserve">(Sartika </w:t>
      </w:r>
      <w:r w:rsidR="00781029" w:rsidRPr="00781029">
        <w:rPr>
          <w:rFonts w:ascii="Georgia" w:hAnsi="Georgia"/>
          <w:i/>
          <w:sz w:val="24"/>
          <w:lang w:val="id-ID"/>
        </w:rPr>
        <w:t>et al.</w:t>
      </w:r>
      <w:r w:rsidR="00781029" w:rsidRPr="00781029">
        <w:rPr>
          <w:rFonts w:ascii="Georgia" w:hAnsi="Georgia"/>
          <w:sz w:val="24"/>
          <w:lang w:val="id-ID"/>
        </w:rPr>
        <w:t>, 2021)</w:t>
      </w:r>
      <w:r w:rsidR="00781029">
        <w:rPr>
          <w:rFonts w:ascii="Georgia" w:hAnsi="Georgia"/>
          <w:sz w:val="24"/>
          <w:lang w:val="id-ID"/>
        </w:rPr>
        <w:fldChar w:fldCharType="end"/>
      </w:r>
      <w:r w:rsidR="00781029" w:rsidRPr="00781029">
        <w:rPr>
          <w:rFonts w:ascii="Georgia" w:hAnsi="Georgia"/>
          <w:sz w:val="24"/>
          <w:lang w:val="id-ID"/>
        </w:rPr>
        <w:t>.</w:t>
      </w:r>
      <w:r w:rsidR="00781029">
        <w:rPr>
          <w:rFonts w:ascii="Georgia" w:hAnsi="Georgia"/>
          <w:sz w:val="24"/>
          <w:lang w:val="id-ID"/>
        </w:rPr>
        <w:t xml:space="preserve"> </w:t>
      </w:r>
      <w:r w:rsidR="009D49B1" w:rsidRPr="009D49B1">
        <w:rPr>
          <w:rFonts w:ascii="Georgia" w:hAnsi="Georgia"/>
          <w:sz w:val="24"/>
          <w:lang w:val="id-ID"/>
        </w:rPr>
        <w:t>Babies born with low birth weight have a very high risk of growth deficiency</w:t>
      </w:r>
      <w:r w:rsidR="009D49B1">
        <w:rPr>
          <w:rFonts w:ascii="Georgia" w:hAnsi="Georgia"/>
          <w:sz w:val="24"/>
          <w:lang w:val="id-ID"/>
        </w:rPr>
        <w:t xml:space="preserve"> </w:t>
      </w:r>
      <w:r w:rsidR="009D49B1">
        <w:rPr>
          <w:rFonts w:ascii="Georgia" w:hAnsi="Georgia"/>
          <w:sz w:val="24"/>
          <w:lang w:val="id-ID"/>
        </w:rPr>
        <w:fldChar w:fldCharType="begin" w:fldLock="1"/>
      </w:r>
      <w:r w:rsidR="007514C0">
        <w:rPr>
          <w:rFonts w:ascii="Georgia" w:hAnsi="Georgia"/>
          <w:sz w:val="24"/>
          <w:lang w:val="id-ID"/>
        </w:rPr>
        <w:instrText>ADDIN CSL_CITATION {"citationItems":[{"id":"ITEM-1","itemData":{"DOI":"10.1155/2018/5735632","ISSN":"1687-9740","abstract":" Objective . Neonatal sepsis is associated with abnormal neurodevelopmental outcomes but not with poor growth at 9 to 15 months of corrected age in LBW infants. Design, Setting, and Participants . This is a prospective cohort study involving 128 eligible preterm low-birth-weight (LBW) infants admitted during the period of 2013-2014 to the Durgabai Deshmukh Hospital and Research Center. All patients were followed up in the outpatient Department of Pediatrics. They were divided into the sepsis and nonsepsis group. Results . A total of 94 infants were evaluated (40 in sepsis and 54 in nonsepsis group). At the age of 9–15 months, low-birth-weight infants with neonatal sepsis had an increased risk of neurodevelopmental disorders (67.5 versus 20.3%; RR: 3.31 (1.87–5.85)). There is no statistically significant difference in the growth outcomes. Conclusion . Neonatal infections are associated with the abnormal neurodevelopmental outcomes in LBW infants but there was no significant difference at growth outcome at 9 to 15 months of corrected age between both groups. ","author":[{"dropping-particle":"","family":"Pawar","given":"Sunil J.","non-dropping-particle":"","parse-names":false,"suffix":""},{"dropping-particle":"","family":"Oleti","given":"Tejopratap","non-dropping-particle":"","parse-names":false,"suffix":""},{"dropping-particle":"","family":"Bharathi","given":"Siluvery","non-dropping-particle":"","parse-names":false,"suffix":""},{"dropping-particle":"","family":"Tipparaju","given":"Shyamsunder","non-dropping-particle":"","parse-names":false,"suffix":""},{"dropping-particle":"","family":"Mustafa","given":"Ershad","non-dropping-particle":"","parse-names":false,"suffix":""}],"container-title":"International Journal of Pediatrics","id":"ITEM-1","issue":"January 2013","issued":{"date-parts":[["2018"]]},"page":"1-9","publisher":"Hindawi","title":"Growth and Neurodevelopmental Outcome in Preterm LBW Infants with Sepsis in India: A Prospective Cohort","type":"article-journal","volume":"2018"},"uris":["http://www.mendeley.com/documents/?uuid=dc58db19-3904-467f-b891-dd849fc45330"]}],"mendeley":{"formattedCitation":"(Pawar &lt;i&gt;et al.&lt;/i&gt;, 2018)","plainTextFormattedCitation":"(Pawar et al., 2018)","previouslyFormattedCitation":"(Pawar &lt;i&gt;et al.&lt;/i&gt;, 2018)"},"properties":{"noteIndex":0},"schema":"https://github.com/citation-style-language/schema/raw/master/csl-citation.json"}</w:instrText>
      </w:r>
      <w:r w:rsidR="009D49B1">
        <w:rPr>
          <w:rFonts w:ascii="Georgia" w:hAnsi="Georgia"/>
          <w:sz w:val="24"/>
          <w:lang w:val="id-ID"/>
        </w:rPr>
        <w:fldChar w:fldCharType="separate"/>
      </w:r>
      <w:r w:rsidR="009D49B1" w:rsidRPr="009D49B1">
        <w:rPr>
          <w:rFonts w:ascii="Georgia" w:hAnsi="Georgia"/>
          <w:sz w:val="24"/>
          <w:lang w:val="id-ID"/>
        </w:rPr>
        <w:t xml:space="preserve">(Pawar </w:t>
      </w:r>
      <w:r w:rsidR="009D49B1" w:rsidRPr="009D49B1">
        <w:rPr>
          <w:rFonts w:ascii="Georgia" w:hAnsi="Georgia"/>
          <w:i/>
          <w:sz w:val="24"/>
          <w:lang w:val="id-ID"/>
        </w:rPr>
        <w:t>et al.</w:t>
      </w:r>
      <w:r w:rsidR="009D49B1" w:rsidRPr="009D49B1">
        <w:rPr>
          <w:rFonts w:ascii="Georgia" w:hAnsi="Georgia"/>
          <w:sz w:val="24"/>
          <w:lang w:val="id-ID"/>
        </w:rPr>
        <w:t>, 2018)</w:t>
      </w:r>
      <w:r w:rsidR="009D49B1">
        <w:rPr>
          <w:rFonts w:ascii="Georgia" w:hAnsi="Georgia"/>
          <w:sz w:val="24"/>
          <w:lang w:val="id-ID"/>
        </w:rPr>
        <w:fldChar w:fldCharType="end"/>
      </w:r>
      <w:r w:rsidR="009D49B1" w:rsidRPr="009D49B1">
        <w:rPr>
          <w:rFonts w:ascii="Georgia" w:hAnsi="Georgia"/>
          <w:sz w:val="24"/>
          <w:lang w:val="id-ID"/>
        </w:rPr>
        <w:t>.</w:t>
      </w:r>
      <w:r>
        <w:rPr>
          <w:rFonts w:ascii="Georgia" w:hAnsi="Georgia"/>
          <w:sz w:val="24"/>
          <w:lang w:val="id-ID"/>
        </w:rPr>
        <w:t xml:space="preserve"> </w:t>
      </w:r>
      <w:r w:rsidRPr="007D4256">
        <w:rPr>
          <w:rFonts w:ascii="Georgia" w:hAnsi="Georgia"/>
          <w:sz w:val="24"/>
          <w:lang w:val="id-ID"/>
        </w:rPr>
        <w:t>Low birth weight is an indication of nutritional deficiency in the baby while in the womb</w:t>
      </w:r>
      <w:r w:rsidR="00323DBF">
        <w:rPr>
          <w:rFonts w:ascii="Georgia" w:hAnsi="Georgia"/>
          <w:sz w:val="24"/>
          <w:lang w:val="id-ID"/>
        </w:rPr>
        <w:t xml:space="preserve"> </w:t>
      </w:r>
      <w:r w:rsidR="00323DBF">
        <w:rPr>
          <w:rFonts w:ascii="Georgia" w:hAnsi="Georgia"/>
          <w:sz w:val="24"/>
          <w:lang w:val="id-ID"/>
        </w:rPr>
        <w:fldChar w:fldCharType="begin" w:fldLock="1"/>
      </w:r>
      <w:r w:rsidR="00323DBF">
        <w:rPr>
          <w:rFonts w:ascii="Georgia" w:hAnsi="Georgia"/>
          <w:sz w:val="24"/>
          <w:lang w:val="id-ID"/>
        </w:rPr>
        <w:instrText>ADDIN CSL_CITATION {"citationItems":[{"id":"ITEM-1","itemData":{"DOI":"10.1097/MD.0000000000023104","ISBN":"0000000000","ISSN":"15365964","PMID":"33217811","abstract":"BACKGROUND: To investigate the characteristics and risk factors for extrauterine growth retardation (EUGR) in very-low-birth-weight infants (VLBWIs). METHODS: The medical records of 137 VLBWIs admitted to the neonatal intensive care unit between June 2015 and December 2017 were retrospectively reviewed. The patients were divided into EUGR (n</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92) and non-EUGR (n</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45) groups. This study collected data on demographic and clinical characteristics and analyzed the risk factors for EUGR with multivariate logistic regression. RESULTS: Gestational age (OR</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0.573, P</w:instrText>
      </w:r>
      <w:r w:rsidR="00323DBF">
        <w:rPr>
          <w:rFonts w:ascii="Times New Roman" w:hAnsi="Times New Roman" w:cs="Times New Roman"/>
          <w:sz w:val="24"/>
          <w:lang w:val="id-ID"/>
        </w:rPr>
        <w:instrText> </w:instrText>
      </w:r>
      <w:r w:rsidR="00323DBF">
        <w:rPr>
          <w:rFonts w:ascii="Georgia" w:hAnsi="Georgia"/>
          <w:sz w:val="24"/>
          <w:lang w:val="id-ID"/>
        </w:rPr>
        <w:instrText>&lt;</w:instrText>
      </w:r>
      <w:r w:rsidR="00323DBF">
        <w:rPr>
          <w:rFonts w:ascii="Times New Roman" w:hAnsi="Times New Roman" w:cs="Times New Roman"/>
          <w:sz w:val="24"/>
          <w:lang w:val="id-ID"/>
        </w:rPr>
        <w:instrText> </w:instrText>
      </w:r>
      <w:r w:rsidR="00323DBF">
        <w:rPr>
          <w:rFonts w:ascii="Georgia" w:hAnsi="Georgia"/>
          <w:sz w:val="24"/>
          <w:lang w:val="id-ID"/>
        </w:rPr>
        <w:instrText>.01), SGA (OR</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3.887, P</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.022), feeding intolerance (OR</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4.632, P</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.002), and calories supplied by amino acids at the 7th day (OR</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0.786, P</w:instrText>
      </w:r>
      <w:r w:rsidR="00323DBF">
        <w:rPr>
          <w:rFonts w:ascii="Times New Roman" w:hAnsi="Times New Roman" w:cs="Times New Roman"/>
          <w:sz w:val="24"/>
          <w:lang w:val="id-ID"/>
        </w:rPr>
        <w:instrText> </w:instrText>
      </w:r>
      <w:r w:rsidR="00323DBF">
        <w:rPr>
          <w:rFonts w:ascii="Georgia" w:hAnsi="Georgia"/>
          <w:sz w:val="24"/>
          <w:lang w:val="id-ID"/>
        </w:rPr>
        <w:instrText>=</w:instrText>
      </w:r>
      <w:r w:rsidR="00323DBF">
        <w:rPr>
          <w:rFonts w:ascii="Times New Roman" w:hAnsi="Times New Roman" w:cs="Times New Roman"/>
          <w:sz w:val="24"/>
          <w:lang w:val="id-ID"/>
        </w:rPr>
        <w:instrText> </w:instrText>
      </w:r>
      <w:r w:rsidR="00323DBF">
        <w:rPr>
          <w:rFonts w:ascii="Georgia" w:hAnsi="Georgia"/>
          <w:sz w:val="24"/>
          <w:lang w:val="id-ID"/>
        </w:rPr>
        <w:instrText>.006) were high-risk factors for EUGR. CONCLUSION: Feeding intolerance reduction and amino acid nutrition support should be applied to prevent delayed extrauterine growth for VLBWIs.","author":[{"dropping-particle":"","family":"Zhao","given":"Xingli","non-dropping-particle":"","parse-names":false,"suffix":""},{"dropping-particle":"","family":"Ding","given":"Li","non-dropping-particle":"","parse-names":false,"suffix":""},{"dropping-particle":"","family":"Chen","given":"Xiaoqian","non-dropping-particle":"","parse-names":false,"suffix":""},{"dropping-particle":"","family":"Zhu","given":"Xueping","non-dropping-particle":"","parse-names":false,"suffix":""},{"dropping-particle":"","family":"Wang","given":"Jian","non-dropping-particle":"","parse-names":false,"suffix":""}],"container-title":"Medicine","id":"ITEM-1","issue":"47","issued":{"date-parts":[["2020"]]},"page":"e23104","title":"Characteristics and risk factors for extrauterine growth retardation in very-low-birth-weight infants","type":"article-journal","volume":"99"},"uris":["http://www.mendeley.com/documents/?uuid=9a1687b7-9419-4237-ae26-0a6c0b081394"]}],"mendeley":{"formattedCitation":"(Zhao &lt;i&gt;et al.&lt;/i&gt;, 2020)","plainTextFormattedCitation":"(Zhao et al., 2020)"},"properties":{"noteIndex":0},"schema":"https://github.com/citation-style-language/schema/raw/master/csl-citation.json"}</w:instrText>
      </w:r>
      <w:r w:rsidR="00323DBF">
        <w:rPr>
          <w:rFonts w:ascii="Georgia" w:hAnsi="Georgia"/>
          <w:sz w:val="24"/>
          <w:lang w:val="id-ID"/>
        </w:rPr>
        <w:fldChar w:fldCharType="separate"/>
      </w:r>
      <w:r w:rsidR="00323DBF" w:rsidRPr="00323DBF">
        <w:rPr>
          <w:rFonts w:ascii="Georgia" w:hAnsi="Georgia"/>
          <w:sz w:val="24"/>
          <w:lang w:val="id-ID"/>
        </w:rPr>
        <w:t xml:space="preserve">(Zhao </w:t>
      </w:r>
      <w:r w:rsidR="00323DBF" w:rsidRPr="00323DBF">
        <w:rPr>
          <w:rFonts w:ascii="Georgia" w:hAnsi="Georgia"/>
          <w:i/>
          <w:sz w:val="24"/>
          <w:lang w:val="id-ID"/>
        </w:rPr>
        <w:t>et al.</w:t>
      </w:r>
      <w:r w:rsidR="00323DBF" w:rsidRPr="00323DBF">
        <w:rPr>
          <w:rFonts w:ascii="Georgia" w:hAnsi="Georgia"/>
          <w:sz w:val="24"/>
          <w:lang w:val="id-ID"/>
        </w:rPr>
        <w:t>, 2020)</w:t>
      </w:r>
      <w:r w:rsidR="00323DBF">
        <w:rPr>
          <w:rFonts w:ascii="Georgia" w:hAnsi="Georgia"/>
          <w:sz w:val="24"/>
          <w:lang w:val="id-ID"/>
        </w:rPr>
        <w:fldChar w:fldCharType="end"/>
      </w:r>
      <w:r w:rsidRPr="007D4256">
        <w:rPr>
          <w:rFonts w:ascii="Georgia" w:hAnsi="Georgia"/>
          <w:sz w:val="24"/>
          <w:lang w:val="id-ID"/>
        </w:rPr>
        <w:t xml:space="preserve">. </w:t>
      </w:r>
      <w:r w:rsidR="00910AF0">
        <w:rPr>
          <w:rFonts w:ascii="Georgia" w:hAnsi="Georgia"/>
          <w:sz w:val="24"/>
          <w:lang w:val="id-ID"/>
        </w:rPr>
        <w:t>S</w:t>
      </w:r>
      <w:r w:rsidRPr="007D4256">
        <w:rPr>
          <w:rFonts w:ascii="Georgia" w:hAnsi="Georgia"/>
          <w:sz w:val="24"/>
          <w:lang w:val="id-ID"/>
        </w:rPr>
        <w:t xml:space="preserve">o that the appropriate intervention to deal with this problem must be maximized so that growth can return to normal. Babies born with low weight can cause growth disorders, especially during the </w:t>
      </w:r>
      <w:r>
        <w:rPr>
          <w:rFonts w:ascii="Georgia" w:hAnsi="Georgia"/>
          <w:sz w:val="24"/>
          <w:lang w:val="id-ID"/>
        </w:rPr>
        <w:t>first 1000 days of life</w:t>
      </w:r>
      <w:r w:rsidRPr="007D4256">
        <w:rPr>
          <w:rFonts w:ascii="Georgia" w:hAnsi="Georgia"/>
          <w:sz w:val="24"/>
          <w:lang w:val="id-ID"/>
        </w:rPr>
        <w:t xml:space="preserve"> which is an important period in the growth of toddlers.</w:t>
      </w:r>
      <w:r>
        <w:rPr>
          <w:rFonts w:ascii="Georgia" w:hAnsi="Georgia"/>
          <w:sz w:val="24"/>
          <w:lang w:val="id-ID"/>
        </w:rPr>
        <w:t xml:space="preserve"> </w:t>
      </w:r>
      <w:r w:rsidRPr="007D4256">
        <w:rPr>
          <w:rFonts w:ascii="Georgia" w:hAnsi="Georgia"/>
          <w:sz w:val="24"/>
          <w:lang w:val="id-ID"/>
        </w:rPr>
        <w:t>Starting from the age of 23 months of pregnancy, the baby's growth needs to be taken seriously because from that time on it can have an impact on the first 1000 days of life</w:t>
      </w:r>
      <w:r>
        <w:rPr>
          <w:rFonts w:ascii="Georgia" w:hAnsi="Georgia"/>
          <w:sz w:val="24"/>
          <w:lang w:val="id-ID"/>
        </w:rPr>
        <w:t xml:space="preserve"> </w:t>
      </w:r>
      <w:r>
        <w:rPr>
          <w:rFonts w:ascii="Georgia" w:hAnsi="Georgia"/>
          <w:sz w:val="24"/>
          <w:lang w:val="id-ID"/>
        </w:rPr>
        <w:fldChar w:fldCharType="begin" w:fldLock="1"/>
      </w:r>
      <w:r w:rsidR="002B57BC">
        <w:rPr>
          <w:rFonts w:ascii="Georgia" w:hAnsi="Georgia"/>
          <w:sz w:val="24"/>
          <w:lang w:val="id-ID"/>
        </w:rPr>
        <w:instrText>ADDIN CSL_CITATION {"citationItems":[{"id":"ITEM-1","itemData":{"DOI":"10.3390/nu8120773","ISBN":"4177442917","ISSN":"20726643","PMID":"27916873","abstract":"Adequate supply of micronutrients during the first 1000 days is essential for normal development and healthy life. We aimed to investigate if interventions administering dietary doses up to the recommended nutrient intake (RNI) of iron and zinc within the window from conception to age 2 years have the potential to influence nutritional status and development of children. To address this objective, a systematic review and meta-analysis of randomized and quasi-randomized fortification, biofortification, and supplementation trials in women (pregnant and lactating) and children (6-23 months) delivering iron or zinc in doses up to the recommended nutrient intake (RNI) levels was conducted. Supplying iron or zinc during pregnancy had no effects on birth outcomes. There were limited or no data on the effects of iron/zinc during pregnancy and lactation on child iron/zinc status, growth, morbidity, and psychomotor and mental development. Delivering up to 15 mg iron/day during infancy increased mean hemoglobin by 4 g/L (p &lt; 0.001) and mean serum ferritin concentration by 17.6 µg/L (p &lt; 0.001) and reduced the risk for anemia by 41% (p &lt; 0.001), iron deficiency by 78% (ID; p &lt; 0.001) and iron deficiency anemia by 80% (IDA; p &lt; 0.001), but had no effect on growth or psychomotor development. Providing up to 10 mg of additional zinc during infancy increased plasma zinc concentration by 2.03 µmol/L (p &lt; 0.001) and reduced the risk of zinc deficiency by 47% (p &lt; 0.001). Further, we observed positive effects on child weight for age z-score (WAZ) (p &lt; 0.05), weight for height z-score (WHZ) (p &lt; 0.05), but not on height for age z-score (HAZ) or the risk for stunting, wasting, and underweight. There are no studies covering the full 1000 days window and the effects of iron and zinc delivered during pregnancy and lactation on child outcomes are ambiguous, but low dose daily iron and zinc use during 6-23 months of age has a positive effect on child iron and zinc status.","author":[{"dropping-particle":"","family":"Petry","given":"Nicolai","non-dropping-particle":"","parse-names":false,"suffix":""},{"dropping-particle":"","family":"Olofin","given":"Ibironke","non-dropping-particle":"","parse-names":false,"suffix":""},{"dropping-particle":"","family":"Boy","given":"Erick","non-dropping-particle":"","parse-names":false,"suffix":""},{"dropping-particle":"","family":"Angel","given":"Moira Donahue","non-dropping-particle":"","parse-names":false,"suffix":""},{"dropping-particle":"","family":"Rohner","given":"Fabian","non-dropping-particle":"","parse-names":false,"suffix":""}],"container-title":"Nutrients","id":"ITEM-1","issue":"12","issued":{"date-parts":[["2016"]]},"page":"1-22","title":"The effect of low dose Iron and zinc intake on child micronutrient status and development during the first 1000 days of life: A systematic review and meta-analysis","type":"article-journal","volume":"8"},"uris":["http://www.mendeley.com/documents/?uuid=64d63cb4-ec7d-4c29-9bf0-1fd8107a1a65"]}],"mendeley":{"formattedCitation":"(Petry &lt;i&gt;et al.&lt;/i&gt;, 2016)","plainTextFormattedCitation":"(Petry et al., 2016)","previouslyFormattedCitation":"(Petry &lt;i&gt;et al.&lt;/i&gt;, 2016)"},"properties":{"noteIndex":0},"schema":"https://github.com/citation-style-language/schema/raw/master/csl-citation.json"}</w:instrText>
      </w:r>
      <w:r>
        <w:rPr>
          <w:rFonts w:ascii="Georgia" w:hAnsi="Georgia"/>
          <w:sz w:val="24"/>
          <w:lang w:val="id-ID"/>
        </w:rPr>
        <w:fldChar w:fldCharType="separate"/>
      </w:r>
      <w:r w:rsidRPr="007D4256">
        <w:rPr>
          <w:rFonts w:ascii="Georgia" w:hAnsi="Georgia"/>
          <w:sz w:val="24"/>
          <w:lang w:val="id-ID"/>
        </w:rPr>
        <w:t xml:space="preserve">(Petry </w:t>
      </w:r>
      <w:r w:rsidRPr="007D4256">
        <w:rPr>
          <w:rFonts w:ascii="Georgia" w:hAnsi="Georgia"/>
          <w:i/>
          <w:sz w:val="24"/>
          <w:lang w:val="id-ID"/>
        </w:rPr>
        <w:t>et al.</w:t>
      </w:r>
      <w:r w:rsidRPr="007D4256">
        <w:rPr>
          <w:rFonts w:ascii="Georgia" w:hAnsi="Georgia"/>
          <w:sz w:val="24"/>
          <w:lang w:val="id-ID"/>
        </w:rPr>
        <w:t>, 2016)</w:t>
      </w:r>
      <w:r>
        <w:rPr>
          <w:rFonts w:ascii="Georgia" w:hAnsi="Georgia"/>
          <w:sz w:val="24"/>
          <w:lang w:val="id-ID"/>
        </w:rPr>
        <w:fldChar w:fldCharType="end"/>
      </w:r>
      <w:r>
        <w:rPr>
          <w:rFonts w:ascii="Georgia" w:hAnsi="Georgia"/>
          <w:sz w:val="24"/>
          <w:lang w:val="id-ID"/>
        </w:rPr>
        <w:t xml:space="preserve">. </w:t>
      </w:r>
      <w:r w:rsidRPr="007D4256">
        <w:rPr>
          <w:rFonts w:ascii="Georgia" w:hAnsi="Georgia"/>
          <w:sz w:val="24"/>
          <w:lang w:val="id-ID"/>
        </w:rPr>
        <w:t>Therefore, stunting prevention can be carried out from gestational age, especially in terms of nutrition</w:t>
      </w:r>
      <w:r>
        <w:rPr>
          <w:rFonts w:ascii="Georgia" w:hAnsi="Georgia"/>
          <w:sz w:val="24"/>
          <w:lang w:val="id-ID"/>
        </w:rPr>
        <w:t>.</w:t>
      </w:r>
    </w:p>
    <w:p w14:paraId="740483E4" w14:textId="516D6FE2" w:rsidR="00677C05" w:rsidRPr="002B57BC" w:rsidRDefault="00677C05" w:rsidP="00323DBF">
      <w:pPr>
        <w:spacing w:before="0"/>
        <w:rPr>
          <w:rFonts w:ascii="Georgia" w:hAnsi="Georgia"/>
          <w:sz w:val="24"/>
          <w:lang w:val="id-ID"/>
        </w:rPr>
      </w:pPr>
      <w:r>
        <w:rPr>
          <w:rFonts w:ascii="Georgia" w:hAnsi="Georgia"/>
          <w:sz w:val="24"/>
          <w:lang w:val="id-ID"/>
        </w:rPr>
        <w:t xml:space="preserve">History of infection in this study </w:t>
      </w:r>
      <w:r w:rsidRPr="00F632E9">
        <w:rPr>
          <w:rFonts w:ascii="Georgia" w:hAnsi="Georgia"/>
          <w:sz w:val="24"/>
        </w:rPr>
        <w:t>ha</w:t>
      </w:r>
      <w:r>
        <w:rPr>
          <w:rFonts w:ascii="Georgia" w:hAnsi="Georgia"/>
          <w:sz w:val="24"/>
          <w:lang w:val="id-ID"/>
        </w:rPr>
        <w:t>d</w:t>
      </w:r>
      <w:r w:rsidRPr="00F632E9">
        <w:rPr>
          <w:rFonts w:ascii="Georgia" w:hAnsi="Georgia"/>
          <w:sz w:val="24"/>
        </w:rPr>
        <w:t xml:space="preserve"> a significant effect on the incidence of stunting with p-value = 0.0</w:t>
      </w:r>
      <w:r w:rsidR="00910AF0">
        <w:rPr>
          <w:rFonts w:ascii="Georgia" w:hAnsi="Georgia"/>
          <w:sz w:val="24"/>
          <w:lang w:val="id-ID"/>
        </w:rPr>
        <w:t>43</w:t>
      </w:r>
      <w:r w:rsidRPr="00F632E9">
        <w:rPr>
          <w:rFonts w:ascii="Georgia" w:hAnsi="Georgia"/>
          <w:sz w:val="24"/>
        </w:rPr>
        <w:t xml:space="preserve"> and OR = </w:t>
      </w:r>
      <w:r w:rsidR="00910AF0">
        <w:rPr>
          <w:rFonts w:ascii="Georgia" w:hAnsi="Georgia"/>
          <w:sz w:val="24"/>
          <w:lang w:val="id-ID"/>
        </w:rPr>
        <w:t>2.496</w:t>
      </w:r>
      <w:r w:rsidRPr="00F632E9">
        <w:rPr>
          <w:rFonts w:ascii="Georgia" w:hAnsi="Georgia"/>
          <w:sz w:val="24"/>
        </w:rPr>
        <w:t xml:space="preserve"> (CI = </w:t>
      </w:r>
      <w:r w:rsidR="00910AF0" w:rsidRPr="00CD65D4">
        <w:rPr>
          <w:rFonts w:ascii="Georgia" w:hAnsi="Georgia"/>
          <w:sz w:val="24"/>
          <w:szCs w:val="24"/>
          <w:lang w:val="id-ID"/>
        </w:rPr>
        <w:t>1.105-5.639</w:t>
      </w:r>
      <w:r w:rsidRPr="00F632E9">
        <w:rPr>
          <w:rFonts w:ascii="Georgia" w:hAnsi="Georgia"/>
          <w:sz w:val="24"/>
        </w:rPr>
        <w:t>)</w:t>
      </w:r>
      <w:r w:rsidR="002B57BC">
        <w:rPr>
          <w:rFonts w:ascii="Georgia" w:hAnsi="Georgia"/>
          <w:sz w:val="24"/>
          <w:lang w:val="id-ID"/>
        </w:rPr>
        <w:t>.</w:t>
      </w:r>
      <w:r w:rsidR="00AF178B">
        <w:rPr>
          <w:rFonts w:ascii="Georgia" w:hAnsi="Georgia"/>
          <w:sz w:val="24"/>
          <w:lang w:val="id-ID"/>
        </w:rPr>
        <w:t xml:space="preserve"> </w:t>
      </w:r>
      <w:r w:rsidR="00323DBF">
        <w:rPr>
          <w:rFonts w:ascii="Georgia" w:hAnsi="Georgia"/>
          <w:sz w:val="24"/>
          <w:lang w:val="id-ID"/>
        </w:rPr>
        <w:t xml:space="preserve">A </w:t>
      </w:r>
      <w:r w:rsidR="002B57BC" w:rsidRPr="002B57BC">
        <w:rPr>
          <w:rFonts w:ascii="Georgia" w:hAnsi="Georgia"/>
          <w:sz w:val="24"/>
          <w:lang w:val="id-ID"/>
        </w:rPr>
        <w:t xml:space="preserve">studies have shown that the incidence of stunting is associated with diarrhea and acute respiratory distress in infants </w:t>
      </w:r>
      <w:r w:rsidR="002B57BC" w:rsidRPr="002B57BC">
        <w:rPr>
          <w:rFonts w:ascii="Georgia" w:hAnsi="Georgia"/>
          <w:sz w:val="24"/>
          <w:lang w:val="id-ID"/>
        </w:rPr>
        <w:lastRenderedPageBreak/>
        <w:t>under five years old</w:t>
      </w:r>
      <w:r w:rsidR="002B57BC">
        <w:rPr>
          <w:rFonts w:ascii="Georgia" w:hAnsi="Georgia"/>
          <w:sz w:val="24"/>
          <w:lang w:val="id-ID"/>
        </w:rPr>
        <w:t xml:space="preserve"> </w:t>
      </w:r>
      <w:r w:rsidR="002B57BC">
        <w:rPr>
          <w:rFonts w:ascii="Georgia" w:hAnsi="Georgia"/>
          <w:sz w:val="24"/>
          <w:lang w:val="id-ID"/>
        </w:rPr>
        <w:fldChar w:fldCharType="begin" w:fldLock="1"/>
      </w:r>
      <w:r w:rsidR="00323DBF">
        <w:rPr>
          <w:rFonts w:ascii="Georgia" w:hAnsi="Georgia"/>
          <w:sz w:val="24"/>
          <w:lang w:val="id-ID"/>
        </w:rPr>
        <w:instrText>ADDIN CSL_CITATION {"citationItems":[{"id":"ITEM-1","itemData":{"DOI":"10.4081/jphr.2020.1816","ISSN":"22799036","abstract":"Background: Infectious diseases such as diarrhea and Acute Respiratory Infection (ARI) lead to loss of appetite in children and stunting growth. This study analyzes the relationship between the incidence of stunting and the frequency/duration of diarrhea and ARI in children under five years. Design and Methods: The stratified random sampling method was used to obtain data from 152 children in 4 villages in Surabaya, East Java, Indonesia. Results: The results showed that children under the age of five, experience higher stunting duration and longer frequency of diarrhea. The Rho Spearmen Test showed differences in the incidence of stunting with the frequency of diarrhea P = 0.005 (P&lt;α = 0.05), P = 0.003 (P&lt;α = 0.05), with ARI of P =0.001 (P&lt;α = 0.05). Conclusions: In conclusion, stunting is related to the frequency and duration of diarrheal diseases and ARI, therefore, commu-nity-integrated health center need to carryout counseling activities on children less than five years to determine their health status.","author":[{"dropping-particle":"","family":"Arini","given":"Diyah","non-dropping-particle":"","parse-names":false,"suffix":""},{"dropping-particle":"","family":"Nursalam","given":"Nursalam","non-dropping-particle":"","parse-names":false,"suffix":""},{"dropping-particle":"","family":"Mahmudah","given":"Mahmudah","non-dropping-particle":"","parse-names":false,"suffix":""},{"dropping-particle":"","family":"Faradilah","given":"Ike","non-dropping-particle":"","parse-names":false,"suffix":""}],"container-title":"Journal of Public Health Research","id":"ITEM-1","issue":"2","issued":{"date-parts":[["2020"]]},"page":"117-120","title":"The incidence of stunting, the frequency/duration of diarrhea and Acute Respiratory Infection in toddlers","type":"article-journal","volume":"9"},"uris":["http://www.mendeley.com/documents/?uuid=6d744be9-01ef-456d-ad2b-8cfa9cd246f0"]}],"mendeley":{"formattedCitation":"(Arini &lt;i&gt;et al.&lt;/i&gt;, 2020)","plainTextFormattedCitation":"(Arini et al., 2020)","previouslyFormattedCitation":"(Arini &lt;i&gt;et al.&lt;/i&gt;, 2020)"},"properties":{"noteIndex":0},"schema":"https://github.com/citation-style-language/schema/raw/master/csl-citation.json"}</w:instrText>
      </w:r>
      <w:r w:rsidR="002B57BC">
        <w:rPr>
          <w:rFonts w:ascii="Georgia" w:hAnsi="Georgia"/>
          <w:sz w:val="24"/>
          <w:lang w:val="id-ID"/>
        </w:rPr>
        <w:fldChar w:fldCharType="separate"/>
      </w:r>
      <w:r w:rsidR="002B57BC" w:rsidRPr="002B57BC">
        <w:rPr>
          <w:rFonts w:ascii="Georgia" w:hAnsi="Georgia"/>
          <w:sz w:val="24"/>
          <w:lang w:val="id-ID"/>
        </w:rPr>
        <w:t xml:space="preserve">(Arini </w:t>
      </w:r>
      <w:r w:rsidR="002B57BC" w:rsidRPr="002B57BC">
        <w:rPr>
          <w:rFonts w:ascii="Georgia" w:hAnsi="Georgia"/>
          <w:i/>
          <w:sz w:val="24"/>
          <w:lang w:val="id-ID"/>
        </w:rPr>
        <w:t>et al.</w:t>
      </w:r>
      <w:r w:rsidR="002B57BC" w:rsidRPr="002B57BC">
        <w:rPr>
          <w:rFonts w:ascii="Georgia" w:hAnsi="Georgia"/>
          <w:sz w:val="24"/>
          <w:lang w:val="id-ID"/>
        </w:rPr>
        <w:t>, 2020)</w:t>
      </w:r>
      <w:r w:rsidR="002B57BC">
        <w:rPr>
          <w:rFonts w:ascii="Georgia" w:hAnsi="Georgia"/>
          <w:sz w:val="24"/>
          <w:lang w:val="id-ID"/>
        </w:rPr>
        <w:fldChar w:fldCharType="end"/>
      </w:r>
      <w:r w:rsidR="002B57BC">
        <w:rPr>
          <w:rFonts w:ascii="Georgia" w:hAnsi="Georgia"/>
          <w:sz w:val="24"/>
          <w:lang w:val="id-ID"/>
        </w:rPr>
        <w:t>.</w:t>
      </w:r>
      <w:r w:rsidR="00AF178B">
        <w:rPr>
          <w:rFonts w:ascii="Georgia" w:hAnsi="Georgia"/>
          <w:sz w:val="24"/>
          <w:lang w:val="id-ID"/>
        </w:rPr>
        <w:t xml:space="preserve"> </w:t>
      </w:r>
      <w:r w:rsidR="00323DBF">
        <w:rPr>
          <w:rFonts w:ascii="Georgia" w:hAnsi="Georgia"/>
          <w:sz w:val="24"/>
          <w:lang w:val="id-ID"/>
        </w:rPr>
        <w:t xml:space="preserve">An other study show </w:t>
      </w:r>
      <w:r w:rsidR="00323DBF" w:rsidRPr="002B57BC">
        <w:rPr>
          <w:rFonts w:ascii="Georgia" w:hAnsi="Georgia"/>
          <w:sz w:val="24"/>
          <w:lang w:val="id-ID"/>
        </w:rPr>
        <w:t>Zika virus infection during pregnancy can have implications for growth disorders in the fetus</w:t>
      </w:r>
      <w:r w:rsidR="00323DBF">
        <w:rPr>
          <w:rFonts w:ascii="Georgia" w:hAnsi="Georgia"/>
          <w:sz w:val="24"/>
          <w:lang w:val="id-ID"/>
        </w:rPr>
        <w:t xml:space="preserve"> </w:t>
      </w:r>
      <w:r w:rsidR="00323DBF">
        <w:rPr>
          <w:rFonts w:ascii="Georgia" w:hAnsi="Georgia"/>
          <w:sz w:val="24"/>
          <w:lang w:val="id-ID"/>
        </w:rPr>
        <w:fldChar w:fldCharType="begin" w:fldLock="1"/>
      </w:r>
      <w:r w:rsidR="00323DBF">
        <w:rPr>
          <w:rFonts w:ascii="Georgia" w:hAnsi="Georgia"/>
          <w:sz w:val="24"/>
          <w:lang w:val="id-ID"/>
        </w:rPr>
        <w:instrText>ADDIN CSL_CITATION {"citationItems":[{"id":"ITEM-1","itemData":{"DOI":"10.1126/sciimmunol.aao1680","ISSN":"24709468","PMID":"29305462","abstract":"Zika virus (ZIKV) infection during pregnancy is associated with adverse fetal outcomes, including microcephaly, growth restriction, and fetal demise. Type I interferons (IFNs) are essential for host resistance against ZIKV, and IFN-/ receptor (IFNAR)–deficient mice are highly susceptible to ZIKV infection. Severe fetal growth restriction with placental damage and fetal resorption is observed after ZIKV infection of type I IFN receptor knockout (Ifnar1−/−) dams mated with wild-type sires, resulting in fetuses with functional type I IFN signaling. The role of type I IFNs in limiting or mediating ZIKV disease within this congenital infection model remains unknown. In this study, we challenged Ifnar1−/− dams mated with Ifnar1+/− sires with ZIKV. This breeding scheme enabled us to examine pregnant dams that carry a mixture of fetuses that express (Ifnar1+/−) or do not express IFNAR (Ifnar1−/−) within the same uterus. Virus replicated to a higher titer in the placenta of Ifnar1−/− than within the Ifnar1+/− concepti. Yet, rather unexpectedly, we found that only Ifnar1+/− fetuses were resorbed after ZIKV infection during early pregnancy, whereas their Ifnar1−/− littermates continue to develop. Analyses of the fetus and placenta revealed that, after ZIKV infection, IFNAR signaling in the conceptus inhibits development of the placental labyrinth, resulting in abnormal architecture of the maternal-fetal barrier. Exposure of midgestation human chorionic villous explants to type I IFN, but not type III IFNs, altered placental morphology and induced cytoskeletal rearrangements within the villous core. Our results implicate type I IFNs as a possible mediator of pregnancy complications, including spontaneous abortions and growth restriction, in the context of congenital viral infections.","author":[{"dropping-particle":"","family":"Yockey","given":"Laura J.","non-dropping-particle":"","parse-names":false,"suffix":""},{"dropping-particle":"","family":"Jurado","given":"Kellie A.","non-dropping-particle":"","parse-names":false,"suffix":""},{"dropping-particle":"","family":"Arora","given":"Nitin","non-dropping-particle":"","parse-names":false,"suffix":""},{"dropping-particle":"","family":"Millet","given":"Alon","non-dropping-particle":"","parse-names":false,"suffix":""},{"dropping-particle":"","family":"Rakib","given":"Tasfia","non-dropping-particle":"","parse-names":false,"suffix":""},{"dropping-particle":"","family":"Milano","given":"Kristin M.","non-dropping-particle":"","parse-names":false,"suffix":""},{"dropping-particle":"","family":"Hastings","given":"Andrew K.","non-dropping-particle":"","parse-names":false,"suffix":""},{"dropping-particle":"","family":"Fikrig","given":"Erol","non-dropping-particle":"","parse-names":false,"suffix":""},{"dropping-particle":"","family":"Kong","given":"Yong","non-dropping-particle":"","parse-names":false,"suffix":""},{"dropping-particle":"","family":"Horvath","given":"Tamas L.","non-dropping-particle":"","parse-names":false,"suffix":""},{"dropping-particle":"","family":"Weatherbee","given":"Scott","non-dropping-particle":"","parse-names":false,"suffix":""},{"dropping-particle":"","family":"Kliman","given":"Harvey J.","non-dropping-particle":"","parse-names":false,"suffix":""},{"dropping-particle":"","family":"Coyne","given":"Carolyn B.","non-dropping-particle":"","parse-names":false,"suffix":""},{"dropping-particle":"","family":"Iwasaki","given":"Akiko","non-dropping-particle":"","parse-names":false,"suffix":""}],"container-title":"Science Immunology","id":"ITEM-1","issue":"19","issued":{"date-parts":[["2018"]]},"title":"Type I interferons instigate fetal demise after Zika virus infection","type":"article-journal","volume":"3"},"uris":["http://www.mendeley.com/documents/?uuid=d57193c8-903d-4c7d-9ded-c47fb02f8856"]}],"mendeley":{"formattedCitation":"(Yockey &lt;i&gt;et al.&lt;/i&gt;, 2018)","plainTextFormattedCitation":"(Yockey et al., 2018)","previouslyFormattedCitation":"(Yockey &lt;i&gt;et al.&lt;/i&gt;, 2018)"},"properties":{"noteIndex":0},"schema":"https://github.com/citation-style-language/schema/raw/master/csl-citation.json"}</w:instrText>
      </w:r>
      <w:r w:rsidR="00323DBF">
        <w:rPr>
          <w:rFonts w:ascii="Georgia" w:hAnsi="Georgia"/>
          <w:sz w:val="24"/>
          <w:lang w:val="id-ID"/>
        </w:rPr>
        <w:fldChar w:fldCharType="separate"/>
      </w:r>
      <w:r w:rsidR="00323DBF" w:rsidRPr="002B57BC">
        <w:rPr>
          <w:rFonts w:ascii="Georgia" w:hAnsi="Georgia"/>
          <w:sz w:val="24"/>
          <w:lang w:val="id-ID"/>
        </w:rPr>
        <w:t xml:space="preserve">(Yockey </w:t>
      </w:r>
      <w:r w:rsidR="00323DBF" w:rsidRPr="002B57BC">
        <w:rPr>
          <w:rFonts w:ascii="Georgia" w:hAnsi="Georgia"/>
          <w:i/>
          <w:sz w:val="24"/>
          <w:lang w:val="id-ID"/>
        </w:rPr>
        <w:t>et al.</w:t>
      </w:r>
      <w:r w:rsidR="00323DBF" w:rsidRPr="002B57BC">
        <w:rPr>
          <w:rFonts w:ascii="Georgia" w:hAnsi="Georgia"/>
          <w:sz w:val="24"/>
          <w:lang w:val="id-ID"/>
        </w:rPr>
        <w:t>, 2018)</w:t>
      </w:r>
      <w:r w:rsidR="00323DBF">
        <w:rPr>
          <w:rFonts w:ascii="Georgia" w:hAnsi="Georgia"/>
          <w:sz w:val="24"/>
          <w:lang w:val="id-ID"/>
        </w:rPr>
        <w:fldChar w:fldCharType="end"/>
      </w:r>
      <w:r w:rsidR="00323DBF">
        <w:rPr>
          <w:rFonts w:ascii="Georgia" w:hAnsi="Georgia"/>
          <w:sz w:val="24"/>
          <w:lang w:val="id-ID"/>
        </w:rPr>
        <w:t xml:space="preserve">. </w:t>
      </w:r>
      <w:r w:rsidR="00323DBF" w:rsidRPr="00323DBF">
        <w:rPr>
          <w:rFonts w:ascii="Georgia" w:hAnsi="Georgia"/>
          <w:sz w:val="24"/>
          <w:lang w:val="id-ID"/>
        </w:rPr>
        <w:t>Infectious diseases are one of the direct causes of growth retardation. The relationship between infectious diseases and food compliance cannot be separated. The presence of infectious diseases will worsen the situation with insufficient food intake. Malnourished children are more prone to infectious diseases. Infectious diseases Children suffering from infectious diseases with a duration The longer the time, the greater the likelihood of being stunted.This infectious disease is usually characterized by decreased appetite and vomiting, so the young child's ingestion does not meet his needs. Conditions like these have bad effects on child growth.</w:t>
      </w:r>
    </w:p>
    <w:p w14:paraId="39702F8D" w14:textId="77777777" w:rsidR="00CD65D4" w:rsidRPr="002508FB" w:rsidRDefault="00CD65D4" w:rsidP="002508FB">
      <w:pPr>
        <w:spacing w:before="0"/>
        <w:rPr>
          <w:rFonts w:ascii="Georgia" w:hAnsi="Georgia"/>
          <w:sz w:val="24"/>
        </w:rPr>
      </w:pPr>
    </w:p>
    <w:p w14:paraId="0132BF93" w14:textId="77777777" w:rsidR="00965D1F" w:rsidRPr="00965D1F" w:rsidRDefault="00965D1F" w:rsidP="00FA1785">
      <w:pPr>
        <w:spacing w:before="0"/>
        <w:rPr>
          <w:rFonts w:ascii="Georgia" w:hAnsi="Georgia"/>
          <w:b/>
          <w:caps/>
          <w:sz w:val="24"/>
        </w:rPr>
      </w:pPr>
      <w:r w:rsidRPr="00965D1F">
        <w:rPr>
          <w:rFonts w:ascii="Georgia" w:hAnsi="Georgia"/>
          <w:b/>
          <w:caps/>
          <w:sz w:val="24"/>
        </w:rPr>
        <w:t>Financial support and sponsorship</w:t>
      </w:r>
    </w:p>
    <w:p w14:paraId="7FC58EFF" w14:textId="0C3F7610" w:rsidR="00F86F52" w:rsidRPr="00916E09" w:rsidRDefault="00916E09" w:rsidP="00F86F52">
      <w:pPr>
        <w:pStyle w:val="Yeti"/>
        <w:tabs>
          <w:tab w:val="right" w:leader="dot" w:pos="9639"/>
        </w:tabs>
        <w:jc w:val="both"/>
      </w:pPr>
      <w:r w:rsidRPr="00916E09">
        <w:rPr>
          <w:lang w:val="en-US"/>
        </w:rPr>
        <w:t>This research is funded by the Ministry of Research and Technology of the Republic of Indonesia</w:t>
      </w:r>
      <w:r w:rsidR="0011025F">
        <w:t xml:space="preserve">, </w:t>
      </w:r>
      <w:r w:rsidR="0011025F" w:rsidRPr="0011025F">
        <w:t>with a novice lecturer research scheme in 2021</w:t>
      </w:r>
    </w:p>
    <w:p w14:paraId="590BBCA7" w14:textId="77777777" w:rsidR="00190519" w:rsidRPr="00965D1F" w:rsidRDefault="00190519" w:rsidP="00FA1785">
      <w:pPr>
        <w:spacing w:before="0"/>
        <w:rPr>
          <w:rFonts w:ascii="Georgia" w:hAnsi="Georgia"/>
          <w:sz w:val="24"/>
        </w:rPr>
      </w:pPr>
    </w:p>
    <w:p w14:paraId="325141CA" w14:textId="77777777" w:rsidR="00DB162F" w:rsidRDefault="00DB162F" w:rsidP="00FA1785">
      <w:pPr>
        <w:spacing w:before="0"/>
        <w:rPr>
          <w:rFonts w:ascii="Georgia" w:hAnsi="Georgia"/>
          <w:b/>
          <w:sz w:val="24"/>
        </w:rPr>
      </w:pPr>
      <w:r>
        <w:rPr>
          <w:rFonts w:ascii="Georgia" w:hAnsi="Georgia"/>
          <w:b/>
          <w:sz w:val="24"/>
        </w:rPr>
        <w:t>ACKNOWLEDGEMENT</w:t>
      </w:r>
    </w:p>
    <w:p w14:paraId="114644AE" w14:textId="08C8FA7E" w:rsidR="00015FA6" w:rsidRPr="00015FA6" w:rsidRDefault="00916E09" w:rsidP="00FA1785">
      <w:pPr>
        <w:spacing w:before="0"/>
        <w:rPr>
          <w:rFonts w:ascii="Georgia" w:hAnsi="Georgia"/>
          <w:sz w:val="24"/>
        </w:rPr>
      </w:pPr>
      <w:r w:rsidRPr="00916E09">
        <w:rPr>
          <w:rFonts w:ascii="Georgia" w:hAnsi="Georgia"/>
          <w:sz w:val="24"/>
        </w:rPr>
        <w:t>We are proud to be participating in the Journal of Epidemiology and Public Health</w:t>
      </w:r>
    </w:p>
    <w:p w14:paraId="71315DBF" w14:textId="77777777" w:rsidR="00916E09" w:rsidRDefault="00916E09" w:rsidP="00FA1785">
      <w:pPr>
        <w:spacing w:before="0"/>
        <w:rPr>
          <w:rFonts w:ascii="Georgia" w:hAnsi="Georgia"/>
          <w:b/>
          <w:sz w:val="24"/>
        </w:rPr>
      </w:pPr>
    </w:p>
    <w:p w14:paraId="4FC57D02" w14:textId="213E618F" w:rsidR="00DB162F" w:rsidRDefault="00DB162F" w:rsidP="00FA1785">
      <w:pPr>
        <w:spacing w:before="0"/>
        <w:rPr>
          <w:rFonts w:ascii="Georgia" w:hAnsi="Georgia"/>
          <w:b/>
          <w:sz w:val="24"/>
        </w:rPr>
      </w:pPr>
      <w:r>
        <w:rPr>
          <w:rFonts w:ascii="Georgia" w:hAnsi="Georgia"/>
          <w:b/>
          <w:sz w:val="24"/>
        </w:rPr>
        <w:t>CONFLICT OF INTEREST</w:t>
      </w:r>
    </w:p>
    <w:p w14:paraId="4EC407F6" w14:textId="63F58128" w:rsidR="00D76484" w:rsidRDefault="00916E09" w:rsidP="00FA1785">
      <w:pPr>
        <w:spacing w:before="0"/>
        <w:rPr>
          <w:rFonts w:ascii="Georgia" w:hAnsi="Georgia"/>
          <w:bCs/>
          <w:sz w:val="24"/>
        </w:rPr>
      </w:pPr>
      <w:r w:rsidRPr="00916E09">
        <w:rPr>
          <w:rFonts w:ascii="Georgia" w:hAnsi="Georgia"/>
          <w:bCs/>
          <w:sz w:val="24"/>
        </w:rPr>
        <w:t>We declare that there is no conflict of interest in the process of this research</w:t>
      </w:r>
    </w:p>
    <w:p w14:paraId="5C68BA17" w14:textId="77777777" w:rsidR="00916E09" w:rsidRPr="00916E09" w:rsidRDefault="00916E09" w:rsidP="00FA1785">
      <w:pPr>
        <w:spacing w:before="0"/>
        <w:rPr>
          <w:rFonts w:ascii="Georgia" w:hAnsi="Georgia"/>
          <w:bCs/>
          <w:sz w:val="24"/>
        </w:rPr>
      </w:pPr>
    </w:p>
    <w:p w14:paraId="5172523D" w14:textId="6A03CEBE" w:rsidR="00DB162F" w:rsidRDefault="00DB162F" w:rsidP="00FA1785">
      <w:pPr>
        <w:spacing w:before="0"/>
        <w:rPr>
          <w:rFonts w:ascii="Georgia" w:hAnsi="Georgia"/>
          <w:b/>
          <w:sz w:val="24"/>
        </w:rPr>
      </w:pPr>
      <w:r>
        <w:rPr>
          <w:rFonts w:ascii="Georgia" w:hAnsi="Georgia"/>
          <w:b/>
          <w:sz w:val="24"/>
        </w:rPr>
        <w:t>REFERENCE</w:t>
      </w:r>
    </w:p>
    <w:p w14:paraId="62A6413F" w14:textId="510C82FB" w:rsidR="00323DBF" w:rsidRPr="00323DBF" w:rsidRDefault="0011025F" w:rsidP="00323DBF">
      <w:pPr>
        <w:widowControl w:val="0"/>
        <w:autoSpaceDE w:val="0"/>
        <w:autoSpaceDN w:val="0"/>
        <w:adjustRightInd w:val="0"/>
        <w:spacing w:before="0"/>
        <w:rPr>
          <w:rFonts w:ascii="Georgia" w:hAnsi="Georgia" w:cs="Times New Roman"/>
          <w:sz w:val="24"/>
          <w:szCs w:val="24"/>
        </w:rPr>
      </w:pPr>
      <w:r>
        <w:rPr>
          <w:rFonts w:ascii="Georgia" w:hAnsi="Georgia"/>
          <w:b/>
          <w:sz w:val="24"/>
        </w:rPr>
        <w:fldChar w:fldCharType="begin" w:fldLock="1"/>
      </w:r>
      <w:r>
        <w:rPr>
          <w:rFonts w:ascii="Georgia" w:hAnsi="Georgia"/>
          <w:b/>
          <w:sz w:val="24"/>
        </w:rPr>
        <w:instrText xml:space="preserve">ADDIN Mendeley Bibliography CSL_BIBLIOGRAPHY </w:instrText>
      </w:r>
      <w:r>
        <w:rPr>
          <w:rFonts w:ascii="Georgia" w:hAnsi="Georgia"/>
          <w:b/>
          <w:sz w:val="24"/>
        </w:rPr>
        <w:fldChar w:fldCharType="separate"/>
      </w:r>
      <w:r w:rsidR="00323DBF" w:rsidRPr="00323DBF">
        <w:rPr>
          <w:rFonts w:ascii="Georgia" w:hAnsi="Georgia" w:cs="Times New Roman"/>
          <w:sz w:val="24"/>
          <w:szCs w:val="24"/>
        </w:rPr>
        <w:t xml:space="preserve">Agosti, M. </w:t>
      </w:r>
      <w:r w:rsidR="00323DBF" w:rsidRPr="00323DBF">
        <w:rPr>
          <w:rFonts w:ascii="Georgia" w:hAnsi="Georgia" w:cs="Times New Roman"/>
          <w:i/>
          <w:iCs/>
          <w:sz w:val="24"/>
          <w:szCs w:val="24"/>
        </w:rPr>
        <w:t>et al.</w:t>
      </w:r>
      <w:r w:rsidR="00323DBF" w:rsidRPr="00323DBF">
        <w:rPr>
          <w:rFonts w:ascii="Georgia" w:hAnsi="Georgia" w:cs="Times New Roman"/>
          <w:sz w:val="24"/>
          <w:szCs w:val="24"/>
        </w:rPr>
        <w:t xml:space="preserve"> (2017) “Nutritional and metabolic programming during the first thousand days of life,” </w:t>
      </w:r>
      <w:r w:rsidR="00323DBF" w:rsidRPr="00323DBF">
        <w:rPr>
          <w:rFonts w:ascii="Georgia" w:hAnsi="Georgia" w:cs="Times New Roman"/>
          <w:i/>
          <w:iCs/>
          <w:sz w:val="24"/>
          <w:szCs w:val="24"/>
        </w:rPr>
        <w:t>La Pediatria medica e chirurgica</w:t>
      </w:r>
      <w:r w:rsidR="00323DBF" w:rsidRPr="00323DBF">
        <w:rPr>
          <w:rFonts w:ascii="Times New Roman" w:hAnsi="Times New Roman" w:cs="Times New Roman"/>
          <w:i/>
          <w:iCs/>
          <w:sz w:val="24"/>
          <w:szCs w:val="24"/>
        </w:rPr>
        <w:t> </w:t>
      </w:r>
      <w:r w:rsidR="00323DBF" w:rsidRPr="00323DBF">
        <w:rPr>
          <w:rFonts w:ascii="Georgia" w:hAnsi="Georgia" w:cs="Times New Roman"/>
          <w:i/>
          <w:iCs/>
          <w:sz w:val="24"/>
          <w:szCs w:val="24"/>
        </w:rPr>
        <w:t>: Medical and surgical pediatrics</w:t>
      </w:r>
      <w:r w:rsidR="00323DBF" w:rsidRPr="00323DBF">
        <w:rPr>
          <w:rFonts w:ascii="Georgia" w:hAnsi="Georgia" w:cs="Times New Roman"/>
          <w:sz w:val="24"/>
          <w:szCs w:val="24"/>
        </w:rPr>
        <w:t>, 39(2), hal. 157. doi: 10.4081/pmc.2017.157.</w:t>
      </w:r>
    </w:p>
    <w:p w14:paraId="1F2209BF"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Arini, D. </w:t>
      </w:r>
      <w:r w:rsidRPr="00323DBF">
        <w:rPr>
          <w:rFonts w:ascii="Georgia" w:hAnsi="Georgia" w:cs="Times New Roman"/>
          <w:i/>
          <w:iCs/>
          <w:sz w:val="24"/>
          <w:szCs w:val="24"/>
        </w:rPr>
        <w:t>et al.</w:t>
      </w:r>
      <w:r w:rsidRPr="00323DBF">
        <w:rPr>
          <w:rFonts w:ascii="Georgia" w:hAnsi="Georgia" w:cs="Times New Roman"/>
          <w:sz w:val="24"/>
          <w:szCs w:val="24"/>
        </w:rPr>
        <w:t xml:space="preserve"> (2020) “The incidence of stunting, the frequency/duration of diarrhea and Acute Respiratory Infection in toddlers,” </w:t>
      </w:r>
      <w:r w:rsidRPr="00323DBF">
        <w:rPr>
          <w:rFonts w:ascii="Georgia" w:hAnsi="Georgia" w:cs="Times New Roman"/>
          <w:i/>
          <w:iCs/>
          <w:sz w:val="24"/>
          <w:szCs w:val="24"/>
        </w:rPr>
        <w:t>Journal of Public Health Research</w:t>
      </w:r>
      <w:r w:rsidRPr="00323DBF">
        <w:rPr>
          <w:rFonts w:ascii="Georgia" w:hAnsi="Georgia" w:cs="Times New Roman"/>
          <w:sz w:val="24"/>
          <w:szCs w:val="24"/>
        </w:rPr>
        <w:t>, 9(2), hal. 117–120. doi: 10.4081/jphr.2020.1816.</w:t>
      </w:r>
    </w:p>
    <w:p w14:paraId="77DCA186"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Bahagia Febriani, A. D. </w:t>
      </w:r>
      <w:r w:rsidRPr="00323DBF">
        <w:rPr>
          <w:rFonts w:ascii="Georgia" w:hAnsi="Georgia" w:cs="Times New Roman"/>
          <w:i/>
          <w:iCs/>
          <w:sz w:val="24"/>
          <w:szCs w:val="24"/>
        </w:rPr>
        <w:t>et al.</w:t>
      </w:r>
      <w:r w:rsidRPr="00323DBF">
        <w:rPr>
          <w:rFonts w:ascii="Georgia" w:hAnsi="Georgia" w:cs="Times New Roman"/>
          <w:sz w:val="24"/>
          <w:szCs w:val="24"/>
        </w:rPr>
        <w:t xml:space="preserve"> (2020) “Risk factors and nutritional profiles associated with stunting in children,” </w:t>
      </w:r>
      <w:r w:rsidRPr="00323DBF">
        <w:rPr>
          <w:rFonts w:ascii="Georgia" w:hAnsi="Georgia" w:cs="Times New Roman"/>
          <w:i/>
          <w:iCs/>
          <w:sz w:val="24"/>
          <w:szCs w:val="24"/>
        </w:rPr>
        <w:t>Pediatric Gastroenterology, Hepatology and Nutrition</w:t>
      </w:r>
      <w:r w:rsidRPr="00323DBF">
        <w:rPr>
          <w:rFonts w:ascii="Georgia" w:hAnsi="Georgia" w:cs="Times New Roman"/>
          <w:sz w:val="24"/>
          <w:szCs w:val="24"/>
        </w:rPr>
        <w:t>, 23(5), hal. 457–463. doi: 10.5223/PGHN.2020.23.5.457.</w:t>
      </w:r>
    </w:p>
    <w:p w14:paraId="662D9A46"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Beal, T. </w:t>
      </w:r>
      <w:r w:rsidRPr="00323DBF">
        <w:rPr>
          <w:rFonts w:ascii="Georgia" w:hAnsi="Georgia" w:cs="Times New Roman"/>
          <w:i/>
          <w:iCs/>
          <w:sz w:val="24"/>
          <w:szCs w:val="24"/>
        </w:rPr>
        <w:t>et al.</w:t>
      </w:r>
      <w:r w:rsidRPr="00323DBF">
        <w:rPr>
          <w:rFonts w:ascii="Georgia" w:hAnsi="Georgia" w:cs="Times New Roman"/>
          <w:sz w:val="24"/>
          <w:szCs w:val="24"/>
        </w:rPr>
        <w:t xml:space="preserve"> (2018) “A review of child stunting determinants in Indonesia,” </w:t>
      </w:r>
      <w:r w:rsidRPr="00323DBF">
        <w:rPr>
          <w:rFonts w:ascii="Georgia" w:hAnsi="Georgia" w:cs="Times New Roman"/>
          <w:i/>
          <w:iCs/>
          <w:sz w:val="24"/>
          <w:szCs w:val="24"/>
        </w:rPr>
        <w:t>Maternal and Child Nutrition</w:t>
      </w:r>
      <w:r w:rsidRPr="00323DBF">
        <w:rPr>
          <w:rFonts w:ascii="Georgia" w:hAnsi="Georgia" w:cs="Times New Roman"/>
          <w:sz w:val="24"/>
          <w:szCs w:val="24"/>
        </w:rPr>
        <w:t>, 14(4), hal. 1–10. doi: 10.1111/mcn.12617.</w:t>
      </w:r>
    </w:p>
    <w:p w14:paraId="7E844E5C"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Fadare O </w:t>
      </w:r>
      <w:r w:rsidRPr="00323DBF">
        <w:rPr>
          <w:rFonts w:ascii="Georgia" w:hAnsi="Georgia" w:cs="Times New Roman"/>
          <w:i/>
          <w:iCs/>
          <w:sz w:val="24"/>
          <w:szCs w:val="24"/>
        </w:rPr>
        <w:t>et al.</w:t>
      </w:r>
      <w:r w:rsidRPr="00323DBF">
        <w:rPr>
          <w:rFonts w:ascii="Georgia" w:hAnsi="Georgia" w:cs="Times New Roman"/>
          <w:sz w:val="24"/>
          <w:szCs w:val="24"/>
        </w:rPr>
        <w:t xml:space="preserve"> (2019) “Mother’s nutrition-related knowledge and child nutrition outcomes: Empirical evidence from Nigeria,” </w:t>
      </w:r>
      <w:r w:rsidRPr="00323DBF">
        <w:rPr>
          <w:rFonts w:ascii="Georgia" w:hAnsi="Georgia" w:cs="Times New Roman"/>
          <w:i/>
          <w:iCs/>
          <w:sz w:val="24"/>
          <w:szCs w:val="24"/>
        </w:rPr>
        <w:t>PLoS ONE</w:t>
      </w:r>
      <w:r w:rsidRPr="00323DBF">
        <w:rPr>
          <w:rFonts w:ascii="Georgia" w:hAnsi="Georgia" w:cs="Times New Roman"/>
          <w:sz w:val="24"/>
          <w:szCs w:val="24"/>
        </w:rPr>
        <w:t>, 14, hal. 1–17.</w:t>
      </w:r>
    </w:p>
    <w:p w14:paraId="34BF24F2"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Fu, B. </w:t>
      </w:r>
      <w:r w:rsidRPr="00323DBF">
        <w:rPr>
          <w:rFonts w:ascii="Georgia" w:hAnsi="Georgia" w:cs="Times New Roman"/>
          <w:i/>
          <w:iCs/>
          <w:sz w:val="24"/>
          <w:szCs w:val="24"/>
        </w:rPr>
        <w:t>et al.</w:t>
      </w:r>
      <w:r w:rsidRPr="00323DBF">
        <w:rPr>
          <w:rFonts w:ascii="Georgia" w:hAnsi="Georgia" w:cs="Times New Roman"/>
          <w:sz w:val="24"/>
          <w:szCs w:val="24"/>
        </w:rPr>
        <w:t xml:space="preserve"> (2017) “Natural Killer Cells Promote Fetal Development through the Secretion of Growth-Promoting Factors,” </w:t>
      </w:r>
      <w:r w:rsidRPr="00323DBF">
        <w:rPr>
          <w:rFonts w:ascii="Georgia" w:hAnsi="Georgia" w:cs="Times New Roman"/>
          <w:i/>
          <w:iCs/>
          <w:sz w:val="24"/>
          <w:szCs w:val="24"/>
        </w:rPr>
        <w:t>Immunity</w:t>
      </w:r>
      <w:r w:rsidRPr="00323DBF">
        <w:rPr>
          <w:rFonts w:ascii="Georgia" w:hAnsi="Georgia" w:cs="Times New Roman"/>
          <w:sz w:val="24"/>
          <w:szCs w:val="24"/>
        </w:rPr>
        <w:t>. Elsevier Inc., 47(6), hal. 1100-1113.e6. doi: 10.1016/j.immuni.2017.11.018.</w:t>
      </w:r>
    </w:p>
    <w:p w14:paraId="23F925C4"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García Cruz, L. M. </w:t>
      </w:r>
      <w:r w:rsidRPr="00323DBF">
        <w:rPr>
          <w:rFonts w:ascii="Georgia" w:hAnsi="Georgia" w:cs="Times New Roman"/>
          <w:i/>
          <w:iCs/>
          <w:sz w:val="24"/>
          <w:szCs w:val="24"/>
        </w:rPr>
        <w:t>et al.</w:t>
      </w:r>
      <w:r w:rsidRPr="00323DBF">
        <w:rPr>
          <w:rFonts w:ascii="Georgia" w:hAnsi="Georgia" w:cs="Times New Roman"/>
          <w:sz w:val="24"/>
          <w:szCs w:val="24"/>
        </w:rPr>
        <w:t xml:space="preserve"> (2017) “Factors associated with stunting among children aged 0 to 59 months from the central region of Mozambique,” </w:t>
      </w:r>
      <w:r w:rsidRPr="00323DBF">
        <w:rPr>
          <w:rFonts w:ascii="Georgia" w:hAnsi="Georgia" w:cs="Times New Roman"/>
          <w:i/>
          <w:iCs/>
          <w:sz w:val="24"/>
          <w:szCs w:val="24"/>
        </w:rPr>
        <w:t>Nutrients</w:t>
      </w:r>
      <w:r w:rsidRPr="00323DBF">
        <w:rPr>
          <w:rFonts w:ascii="Georgia" w:hAnsi="Georgia" w:cs="Times New Roman"/>
          <w:sz w:val="24"/>
          <w:szCs w:val="24"/>
        </w:rPr>
        <w:t>, 9(5), hal. 1–16. doi: 10.3390/nu9050491.</w:t>
      </w:r>
    </w:p>
    <w:p w14:paraId="282A9F7B"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Kemenkes (2021) “Laporan Kinerja Kementrian Kesehatan Tahun 2020,” </w:t>
      </w:r>
      <w:r w:rsidRPr="00323DBF">
        <w:rPr>
          <w:rFonts w:ascii="Georgia" w:hAnsi="Georgia" w:cs="Times New Roman"/>
          <w:i/>
          <w:iCs/>
          <w:sz w:val="24"/>
          <w:szCs w:val="24"/>
        </w:rPr>
        <w:t>Kemenkes</w:t>
      </w:r>
      <w:r w:rsidRPr="00323DBF">
        <w:rPr>
          <w:rFonts w:ascii="Georgia" w:hAnsi="Georgia" w:cs="Times New Roman"/>
          <w:sz w:val="24"/>
          <w:szCs w:val="24"/>
        </w:rPr>
        <w:t>, hal. 1–209.</w:t>
      </w:r>
    </w:p>
    <w:p w14:paraId="0634EBE8"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Kemenkes RI (2018) “Buletin Stunting,” </w:t>
      </w:r>
      <w:r w:rsidRPr="00323DBF">
        <w:rPr>
          <w:rFonts w:ascii="Georgia" w:hAnsi="Georgia" w:cs="Times New Roman"/>
          <w:i/>
          <w:iCs/>
          <w:sz w:val="24"/>
          <w:szCs w:val="24"/>
        </w:rPr>
        <w:t>Kementerian Kesehatan RI</w:t>
      </w:r>
      <w:r w:rsidRPr="00323DBF">
        <w:rPr>
          <w:rFonts w:ascii="Georgia" w:hAnsi="Georgia" w:cs="Times New Roman"/>
          <w:sz w:val="24"/>
          <w:szCs w:val="24"/>
        </w:rPr>
        <w:t>, 301(5), hal. 1163–1178.</w:t>
      </w:r>
    </w:p>
    <w:p w14:paraId="374ADBEE"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Khan, S., Zaheer, S. dan Safdar, N. F. (2019) “Determinants of stunting, underweight and wasting among children &lt; 5 years of age: Evidence from 2012-2013 Pakistan demographic and health survey,” </w:t>
      </w:r>
      <w:r w:rsidRPr="00323DBF">
        <w:rPr>
          <w:rFonts w:ascii="Georgia" w:hAnsi="Georgia" w:cs="Times New Roman"/>
          <w:i/>
          <w:iCs/>
          <w:sz w:val="24"/>
          <w:szCs w:val="24"/>
        </w:rPr>
        <w:t>BMC Public Health</w:t>
      </w:r>
      <w:r w:rsidRPr="00323DBF">
        <w:rPr>
          <w:rFonts w:ascii="Georgia" w:hAnsi="Georgia" w:cs="Times New Roman"/>
          <w:sz w:val="24"/>
          <w:szCs w:val="24"/>
        </w:rPr>
        <w:t>. BMC Public Health, 19(1), hal. 1–15. doi: 10.1186/s12889-019-6688-2.</w:t>
      </w:r>
    </w:p>
    <w:p w14:paraId="4DE3F939"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lastRenderedPageBreak/>
        <w:t xml:space="preserve">Mahmudiono, T., Sumarmi, S. dan Rosenkranz, R. R. (2017) “Household dietary diversity and child stunting in East Java, Indonesia,” </w:t>
      </w:r>
      <w:r w:rsidRPr="00323DBF">
        <w:rPr>
          <w:rFonts w:ascii="Georgia" w:hAnsi="Georgia" w:cs="Times New Roman"/>
          <w:i/>
          <w:iCs/>
          <w:sz w:val="24"/>
          <w:szCs w:val="24"/>
        </w:rPr>
        <w:t>Asia Pacific Journal of Clinical Nutrition</w:t>
      </w:r>
      <w:r w:rsidRPr="00323DBF">
        <w:rPr>
          <w:rFonts w:ascii="Georgia" w:hAnsi="Georgia" w:cs="Times New Roman"/>
          <w:sz w:val="24"/>
          <w:szCs w:val="24"/>
        </w:rPr>
        <w:t>, 26(2), hal. 317–325. doi: 10.6133/apjcn.012016.01.</w:t>
      </w:r>
    </w:p>
    <w:p w14:paraId="3DDCEFA6"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Millennium Challenge Account Indonesia (2013) “Stunting dan Masa Depan Indonesia,” </w:t>
      </w:r>
      <w:r w:rsidRPr="00323DBF">
        <w:rPr>
          <w:rFonts w:ascii="Georgia" w:hAnsi="Georgia" w:cs="Times New Roman"/>
          <w:i/>
          <w:iCs/>
          <w:sz w:val="24"/>
          <w:szCs w:val="24"/>
        </w:rPr>
        <w:t>Millennium Challenge Account - Indonesia</w:t>
      </w:r>
      <w:r w:rsidRPr="00323DBF">
        <w:rPr>
          <w:rFonts w:ascii="Georgia" w:hAnsi="Georgia" w:cs="Times New Roman"/>
          <w:sz w:val="24"/>
          <w:szCs w:val="24"/>
        </w:rPr>
        <w:t>, 2010, hal. 2–5. Tersedia pada: www.mca-indonesia.go.id.</w:t>
      </w:r>
    </w:p>
    <w:p w14:paraId="5FE29B61"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Oktarina, Z. dan Sudiarti, T. (2014) “Faktor Risiko Stunting Pada Balita (24—59 Bulan) Di Sumatera,” </w:t>
      </w:r>
      <w:r w:rsidRPr="00323DBF">
        <w:rPr>
          <w:rFonts w:ascii="Georgia" w:hAnsi="Georgia" w:cs="Times New Roman"/>
          <w:i/>
          <w:iCs/>
          <w:sz w:val="24"/>
          <w:szCs w:val="24"/>
        </w:rPr>
        <w:t>Jurnal Gizi dan Pangan</w:t>
      </w:r>
      <w:r w:rsidRPr="00323DBF">
        <w:rPr>
          <w:rFonts w:ascii="Georgia" w:hAnsi="Georgia" w:cs="Times New Roman"/>
          <w:sz w:val="24"/>
          <w:szCs w:val="24"/>
        </w:rPr>
        <w:t>, 8(3), hal. 177. doi: 10.25182/jgp.2013.8.3.177-180.</w:t>
      </w:r>
    </w:p>
    <w:p w14:paraId="136FBD8B"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Owino, V. </w:t>
      </w:r>
      <w:r w:rsidRPr="00323DBF">
        <w:rPr>
          <w:rFonts w:ascii="Georgia" w:hAnsi="Georgia" w:cs="Times New Roman"/>
          <w:i/>
          <w:iCs/>
          <w:sz w:val="24"/>
          <w:szCs w:val="24"/>
        </w:rPr>
        <w:t>et al.</w:t>
      </w:r>
      <w:r w:rsidRPr="00323DBF">
        <w:rPr>
          <w:rFonts w:ascii="Georgia" w:hAnsi="Georgia" w:cs="Times New Roman"/>
          <w:sz w:val="24"/>
          <w:szCs w:val="24"/>
        </w:rPr>
        <w:t xml:space="preserve"> (2016) “Environmental enteric dysfunction and growth failure/stunting in global child health,” </w:t>
      </w:r>
      <w:r w:rsidRPr="00323DBF">
        <w:rPr>
          <w:rFonts w:ascii="Georgia" w:hAnsi="Georgia" w:cs="Times New Roman"/>
          <w:i/>
          <w:iCs/>
          <w:sz w:val="24"/>
          <w:szCs w:val="24"/>
        </w:rPr>
        <w:t>Pediatrics</w:t>
      </w:r>
      <w:r w:rsidRPr="00323DBF">
        <w:rPr>
          <w:rFonts w:ascii="Georgia" w:hAnsi="Georgia" w:cs="Times New Roman"/>
          <w:sz w:val="24"/>
          <w:szCs w:val="24"/>
        </w:rPr>
        <w:t>, 138(6). doi: 10.1542/peds.2016-0641.</w:t>
      </w:r>
    </w:p>
    <w:p w14:paraId="40C74727"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Pawar, S. J. </w:t>
      </w:r>
      <w:r w:rsidRPr="00323DBF">
        <w:rPr>
          <w:rFonts w:ascii="Georgia" w:hAnsi="Georgia" w:cs="Times New Roman"/>
          <w:i/>
          <w:iCs/>
          <w:sz w:val="24"/>
          <w:szCs w:val="24"/>
        </w:rPr>
        <w:t>et al.</w:t>
      </w:r>
      <w:r w:rsidRPr="00323DBF">
        <w:rPr>
          <w:rFonts w:ascii="Georgia" w:hAnsi="Georgia" w:cs="Times New Roman"/>
          <w:sz w:val="24"/>
          <w:szCs w:val="24"/>
        </w:rPr>
        <w:t xml:space="preserve"> (2018) “Growth and Neurodevelopmental Outcome in Preterm LBW Infants with Sepsis in India: A Prospective Cohort,” </w:t>
      </w:r>
      <w:r w:rsidRPr="00323DBF">
        <w:rPr>
          <w:rFonts w:ascii="Georgia" w:hAnsi="Georgia" w:cs="Times New Roman"/>
          <w:i/>
          <w:iCs/>
          <w:sz w:val="24"/>
          <w:szCs w:val="24"/>
        </w:rPr>
        <w:t>International Journal of Pediatrics</w:t>
      </w:r>
      <w:r w:rsidRPr="00323DBF">
        <w:rPr>
          <w:rFonts w:ascii="Georgia" w:hAnsi="Georgia" w:cs="Times New Roman"/>
          <w:sz w:val="24"/>
          <w:szCs w:val="24"/>
        </w:rPr>
        <w:t>. Hindawi, 2018(January 2013), hal. 1–9. doi: 10.1155/2018/5735632.</w:t>
      </w:r>
    </w:p>
    <w:p w14:paraId="38016BD9"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Pelaksanaan, L., Susenas, I. dan Tahun, S. (2019) “LAPORAN PELAKSANAAN INTEGRASI SUSENAS MARET 2019 DAN SSGBI TAHUN 2019.”</w:t>
      </w:r>
    </w:p>
    <w:p w14:paraId="29934504"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Petry, N. </w:t>
      </w:r>
      <w:r w:rsidRPr="00323DBF">
        <w:rPr>
          <w:rFonts w:ascii="Georgia" w:hAnsi="Georgia" w:cs="Times New Roman"/>
          <w:i/>
          <w:iCs/>
          <w:sz w:val="24"/>
          <w:szCs w:val="24"/>
        </w:rPr>
        <w:t>et al.</w:t>
      </w:r>
      <w:r w:rsidRPr="00323DBF">
        <w:rPr>
          <w:rFonts w:ascii="Georgia" w:hAnsi="Georgia" w:cs="Times New Roman"/>
          <w:sz w:val="24"/>
          <w:szCs w:val="24"/>
        </w:rPr>
        <w:t xml:space="preserve"> (2016) “The effect of low dose Iron and zinc intake on child micronutrient status and development during the first 1000 days of life: A systematic review and meta-analysis,” </w:t>
      </w:r>
      <w:r w:rsidRPr="00323DBF">
        <w:rPr>
          <w:rFonts w:ascii="Georgia" w:hAnsi="Georgia" w:cs="Times New Roman"/>
          <w:i/>
          <w:iCs/>
          <w:sz w:val="24"/>
          <w:szCs w:val="24"/>
        </w:rPr>
        <w:t>Nutrients</w:t>
      </w:r>
      <w:r w:rsidRPr="00323DBF">
        <w:rPr>
          <w:rFonts w:ascii="Georgia" w:hAnsi="Georgia" w:cs="Times New Roman"/>
          <w:sz w:val="24"/>
          <w:szCs w:val="24"/>
        </w:rPr>
        <w:t>, 8(12), hal. 1–22. doi: 10.3390/nu8120773.</w:t>
      </w:r>
    </w:p>
    <w:p w14:paraId="11CB747C"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Sartika, A. N. </w:t>
      </w:r>
      <w:r w:rsidRPr="00323DBF">
        <w:rPr>
          <w:rFonts w:ascii="Georgia" w:hAnsi="Georgia" w:cs="Times New Roman"/>
          <w:i/>
          <w:iCs/>
          <w:sz w:val="24"/>
          <w:szCs w:val="24"/>
        </w:rPr>
        <w:t>et al.</w:t>
      </w:r>
      <w:r w:rsidRPr="00323DBF">
        <w:rPr>
          <w:rFonts w:ascii="Georgia" w:hAnsi="Georgia" w:cs="Times New Roman"/>
          <w:sz w:val="24"/>
          <w:szCs w:val="24"/>
        </w:rPr>
        <w:t xml:space="preserve"> (2021) “Prenatal and postnatal determinants of stunting at age 0–11 months: A cross-sectional study in Indonesia,” </w:t>
      </w:r>
      <w:r w:rsidRPr="00323DBF">
        <w:rPr>
          <w:rFonts w:ascii="Georgia" w:hAnsi="Georgia" w:cs="Times New Roman"/>
          <w:i/>
          <w:iCs/>
          <w:sz w:val="24"/>
          <w:szCs w:val="24"/>
        </w:rPr>
        <w:t>PLoS ONE</w:t>
      </w:r>
      <w:r w:rsidRPr="00323DBF">
        <w:rPr>
          <w:rFonts w:ascii="Georgia" w:hAnsi="Georgia" w:cs="Times New Roman"/>
          <w:sz w:val="24"/>
          <w:szCs w:val="24"/>
        </w:rPr>
        <w:t>, 16(7 July), hal. 1–14. doi: 10.1371/journal.pone.0254662.</w:t>
      </w:r>
    </w:p>
    <w:p w14:paraId="45407E35"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UNICEF (2020) “Situasi Anak di Indonesia - Tren, Peluang, dan Tantangan dalam Memenuhi Hak-hak Anak,” </w:t>
      </w:r>
      <w:r w:rsidRPr="00323DBF">
        <w:rPr>
          <w:rFonts w:ascii="Georgia" w:hAnsi="Georgia" w:cs="Times New Roman"/>
          <w:i/>
          <w:iCs/>
          <w:sz w:val="24"/>
          <w:szCs w:val="24"/>
        </w:rPr>
        <w:t>Unicef</w:t>
      </w:r>
      <w:r w:rsidRPr="00323DBF">
        <w:rPr>
          <w:rFonts w:ascii="Georgia" w:hAnsi="Georgia" w:cs="Times New Roman"/>
          <w:sz w:val="24"/>
          <w:szCs w:val="24"/>
        </w:rPr>
        <w:t>, hal. 8–38.</w:t>
      </w:r>
    </w:p>
    <w:p w14:paraId="563683D4" w14:textId="77777777" w:rsidR="00323DBF" w:rsidRPr="00323DBF" w:rsidRDefault="00323DBF" w:rsidP="00323DBF">
      <w:pPr>
        <w:widowControl w:val="0"/>
        <w:autoSpaceDE w:val="0"/>
        <w:autoSpaceDN w:val="0"/>
        <w:adjustRightInd w:val="0"/>
        <w:spacing w:before="0"/>
        <w:rPr>
          <w:rFonts w:ascii="Georgia" w:hAnsi="Georgia" w:cs="Times New Roman"/>
          <w:sz w:val="24"/>
          <w:szCs w:val="24"/>
        </w:rPr>
      </w:pPr>
      <w:r w:rsidRPr="00323DBF">
        <w:rPr>
          <w:rFonts w:ascii="Georgia" w:hAnsi="Georgia" w:cs="Times New Roman"/>
          <w:sz w:val="24"/>
          <w:szCs w:val="24"/>
        </w:rPr>
        <w:t xml:space="preserve">Yockey, L. J. </w:t>
      </w:r>
      <w:r w:rsidRPr="00323DBF">
        <w:rPr>
          <w:rFonts w:ascii="Georgia" w:hAnsi="Georgia" w:cs="Times New Roman"/>
          <w:i/>
          <w:iCs/>
          <w:sz w:val="24"/>
          <w:szCs w:val="24"/>
        </w:rPr>
        <w:t>et al.</w:t>
      </w:r>
      <w:r w:rsidRPr="00323DBF">
        <w:rPr>
          <w:rFonts w:ascii="Georgia" w:hAnsi="Georgia" w:cs="Times New Roman"/>
          <w:sz w:val="24"/>
          <w:szCs w:val="24"/>
        </w:rPr>
        <w:t xml:space="preserve"> (2018) “Type I interferons instigate fetal demise after Zika virus infection,” </w:t>
      </w:r>
      <w:r w:rsidRPr="00323DBF">
        <w:rPr>
          <w:rFonts w:ascii="Georgia" w:hAnsi="Georgia" w:cs="Times New Roman"/>
          <w:i/>
          <w:iCs/>
          <w:sz w:val="24"/>
          <w:szCs w:val="24"/>
        </w:rPr>
        <w:t>Science Immunology</w:t>
      </w:r>
      <w:r w:rsidRPr="00323DBF">
        <w:rPr>
          <w:rFonts w:ascii="Georgia" w:hAnsi="Georgia" w:cs="Times New Roman"/>
          <w:sz w:val="24"/>
          <w:szCs w:val="24"/>
        </w:rPr>
        <w:t>, 3(19). doi: 10.1126/sciimmunol.aao1680.</w:t>
      </w:r>
    </w:p>
    <w:p w14:paraId="046C4E49" w14:textId="77777777" w:rsidR="00323DBF" w:rsidRPr="00323DBF" w:rsidRDefault="00323DBF" w:rsidP="00323DBF">
      <w:pPr>
        <w:widowControl w:val="0"/>
        <w:autoSpaceDE w:val="0"/>
        <w:autoSpaceDN w:val="0"/>
        <w:adjustRightInd w:val="0"/>
        <w:spacing w:before="0"/>
        <w:rPr>
          <w:rFonts w:ascii="Georgia" w:hAnsi="Georgia"/>
          <w:sz w:val="24"/>
        </w:rPr>
      </w:pPr>
      <w:r w:rsidRPr="00323DBF">
        <w:rPr>
          <w:rFonts w:ascii="Georgia" w:hAnsi="Georgia" w:cs="Times New Roman"/>
          <w:sz w:val="24"/>
          <w:szCs w:val="24"/>
        </w:rPr>
        <w:t xml:space="preserve">Zhao, X. </w:t>
      </w:r>
      <w:r w:rsidRPr="00323DBF">
        <w:rPr>
          <w:rFonts w:ascii="Georgia" w:hAnsi="Georgia" w:cs="Times New Roman"/>
          <w:i/>
          <w:iCs/>
          <w:sz w:val="24"/>
          <w:szCs w:val="24"/>
        </w:rPr>
        <w:t>et al.</w:t>
      </w:r>
      <w:r w:rsidRPr="00323DBF">
        <w:rPr>
          <w:rFonts w:ascii="Georgia" w:hAnsi="Georgia" w:cs="Times New Roman"/>
          <w:sz w:val="24"/>
          <w:szCs w:val="24"/>
        </w:rPr>
        <w:t xml:space="preserve"> (2020) “Characteristics and risk factors for extrauterine growth retardation in very-low-birth-weight infants,” </w:t>
      </w:r>
      <w:r w:rsidRPr="00323DBF">
        <w:rPr>
          <w:rFonts w:ascii="Georgia" w:hAnsi="Georgia" w:cs="Times New Roman"/>
          <w:i/>
          <w:iCs/>
          <w:sz w:val="24"/>
          <w:szCs w:val="24"/>
        </w:rPr>
        <w:t>Medicine</w:t>
      </w:r>
      <w:r w:rsidRPr="00323DBF">
        <w:rPr>
          <w:rFonts w:ascii="Georgia" w:hAnsi="Georgia" w:cs="Times New Roman"/>
          <w:sz w:val="24"/>
          <w:szCs w:val="24"/>
        </w:rPr>
        <w:t>, 99(47), hal. e23104. doi: 10.1097/MD.0000000000023104.</w:t>
      </w:r>
    </w:p>
    <w:p w14:paraId="3EFA444A" w14:textId="57F9DD18" w:rsidR="0011025F" w:rsidRDefault="0011025F" w:rsidP="00FA1785">
      <w:pPr>
        <w:spacing w:before="0"/>
        <w:rPr>
          <w:rFonts w:ascii="Georgia" w:hAnsi="Georgia"/>
          <w:b/>
          <w:sz w:val="24"/>
        </w:rPr>
      </w:pPr>
      <w:r>
        <w:rPr>
          <w:rFonts w:ascii="Georgia" w:hAnsi="Georgia"/>
          <w:b/>
          <w:sz w:val="24"/>
        </w:rPr>
        <w:fldChar w:fldCharType="end"/>
      </w:r>
    </w:p>
    <w:sectPr w:rsidR="0011025F" w:rsidSect="00EE0640">
      <w:pgSz w:w="11907" w:h="16839" w:code="9"/>
      <w:pgMar w:top="187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4251F"/>
    <w:multiLevelType w:val="hybridMultilevel"/>
    <w:tmpl w:val="DFC8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7D95"/>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F69BD"/>
    <w:multiLevelType w:val="hybridMultilevel"/>
    <w:tmpl w:val="6E2628CC"/>
    <w:lvl w:ilvl="0" w:tplc="B7163A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0772A"/>
    <w:multiLevelType w:val="hybridMultilevel"/>
    <w:tmpl w:val="CBBEF58A"/>
    <w:lvl w:ilvl="0" w:tplc="04210015">
      <w:start w:val="1"/>
      <w:numFmt w:val="upperLetter"/>
      <w:lvlText w:val="%1."/>
      <w:lvlJc w:val="left"/>
      <w:pPr>
        <w:ind w:left="720" w:hanging="360"/>
      </w:pPr>
      <w:rPr>
        <w:rFonts w:hint="default"/>
      </w:rPr>
    </w:lvl>
    <w:lvl w:ilvl="1" w:tplc="B84AA5D2">
      <w:start w:val="1"/>
      <w:numFmt w:val="decimal"/>
      <w:lvlText w:val="%2."/>
      <w:lvlJc w:val="left"/>
      <w:pPr>
        <w:ind w:left="1440" w:hanging="360"/>
      </w:pPr>
      <w:rPr>
        <w:rFonts w:hint="default"/>
      </w:rPr>
    </w:lvl>
    <w:lvl w:ilvl="2" w:tplc="3DDCB27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F90F89"/>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D218C"/>
    <w:multiLevelType w:val="hybridMultilevel"/>
    <w:tmpl w:val="E8E6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CF2DB6"/>
    <w:multiLevelType w:val="hybridMultilevel"/>
    <w:tmpl w:val="951CDE00"/>
    <w:lvl w:ilvl="0" w:tplc="B7163A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27D05"/>
    <w:multiLevelType w:val="hybridMultilevel"/>
    <w:tmpl w:val="0658E104"/>
    <w:lvl w:ilvl="0" w:tplc="F35A4466">
      <w:start w:val="1"/>
      <w:numFmt w:val="decimal"/>
      <w:lvlText w:val="%1."/>
      <w:lvlJc w:val="left"/>
      <w:pPr>
        <w:ind w:left="720" w:hanging="360"/>
      </w:pPr>
      <w:rPr>
        <w:rFonts w:cs="Times New Roman" w:hint="default"/>
        <w:b w:val="0"/>
      </w:rPr>
    </w:lvl>
    <w:lvl w:ilvl="1" w:tplc="DF02EB46" w:tentative="1">
      <w:start w:val="1"/>
      <w:numFmt w:val="lowerLetter"/>
      <w:lvlText w:val="%2."/>
      <w:lvlJc w:val="left"/>
      <w:pPr>
        <w:ind w:left="1440" w:hanging="360"/>
      </w:pPr>
      <w:rPr>
        <w:rFonts w:cs="Times New Roman"/>
      </w:rPr>
    </w:lvl>
    <w:lvl w:ilvl="2" w:tplc="5ED6B86A" w:tentative="1">
      <w:start w:val="1"/>
      <w:numFmt w:val="lowerRoman"/>
      <w:lvlText w:val="%3."/>
      <w:lvlJc w:val="right"/>
      <w:pPr>
        <w:ind w:left="2160" w:hanging="180"/>
      </w:pPr>
      <w:rPr>
        <w:rFonts w:cs="Times New Roman"/>
      </w:rPr>
    </w:lvl>
    <w:lvl w:ilvl="3" w:tplc="5B30DD54" w:tentative="1">
      <w:start w:val="1"/>
      <w:numFmt w:val="decimal"/>
      <w:lvlText w:val="%4."/>
      <w:lvlJc w:val="left"/>
      <w:pPr>
        <w:ind w:left="2880" w:hanging="360"/>
      </w:pPr>
      <w:rPr>
        <w:rFonts w:cs="Times New Roman"/>
      </w:rPr>
    </w:lvl>
    <w:lvl w:ilvl="4" w:tplc="93FE14E8" w:tentative="1">
      <w:start w:val="1"/>
      <w:numFmt w:val="lowerLetter"/>
      <w:lvlText w:val="%5."/>
      <w:lvlJc w:val="left"/>
      <w:pPr>
        <w:ind w:left="3600" w:hanging="360"/>
      </w:pPr>
      <w:rPr>
        <w:rFonts w:cs="Times New Roman"/>
      </w:rPr>
    </w:lvl>
    <w:lvl w:ilvl="5" w:tplc="74BE0CAA" w:tentative="1">
      <w:start w:val="1"/>
      <w:numFmt w:val="lowerRoman"/>
      <w:lvlText w:val="%6."/>
      <w:lvlJc w:val="right"/>
      <w:pPr>
        <w:ind w:left="4320" w:hanging="180"/>
      </w:pPr>
      <w:rPr>
        <w:rFonts w:cs="Times New Roman"/>
      </w:rPr>
    </w:lvl>
    <w:lvl w:ilvl="6" w:tplc="42F29416" w:tentative="1">
      <w:start w:val="1"/>
      <w:numFmt w:val="decimal"/>
      <w:lvlText w:val="%7."/>
      <w:lvlJc w:val="left"/>
      <w:pPr>
        <w:ind w:left="5040" w:hanging="360"/>
      </w:pPr>
      <w:rPr>
        <w:rFonts w:cs="Times New Roman"/>
      </w:rPr>
    </w:lvl>
    <w:lvl w:ilvl="7" w:tplc="BAF4CD98" w:tentative="1">
      <w:start w:val="1"/>
      <w:numFmt w:val="lowerLetter"/>
      <w:lvlText w:val="%8."/>
      <w:lvlJc w:val="left"/>
      <w:pPr>
        <w:ind w:left="5760" w:hanging="360"/>
      </w:pPr>
      <w:rPr>
        <w:rFonts w:cs="Times New Roman"/>
      </w:rPr>
    </w:lvl>
    <w:lvl w:ilvl="8" w:tplc="BCFED098"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7"/>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DIxtjA3MzEzNzU2MzBX0lEKTi0uzszPAykwqwUAh6I4piwAAAA="/>
  </w:docVars>
  <w:rsids>
    <w:rsidRoot w:val="00E9168A"/>
    <w:rsid w:val="00001B39"/>
    <w:rsid w:val="00015FA6"/>
    <w:rsid w:val="00060636"/>
    <w:rsid w:val="00076842"/>
    <w:rsid w:val="00080221"/>
    <w:rsid w:val="000823DC"/>
    <w:rsid w:val="000A60E1"/>
    <w:rsid w:val="000D220F"/>
    <w:rsid w:val="000E4DCB"/>
    <w:rsid w:val="000F6C99"/>
    <w:rsid w:val="00103CCA"/>
    <w:rsid w:val="00104B67"/>
    <w:rsid w:val="0011025F"/>
    <w:rsid w:val="00117E53"/>
    <w:rsid w:val="001310AC"/>
    <w:rsid w:val="00131C42"/>
    <w:rsid w:val="001354CB"/>
    <w:rsid w:val="00137560"/>
    <w:rsid w:val="0014523C"/>
    <w:rsid w:val="00147AEE"/>
    <w:rsid w:val="001712F8"/>
    <w:rsid w:val="00190519"/>
    <w:rsid w:val="001A1F98"/>
    <w:rsid w:val="001D1148"/>
    <w:rsid w:val="001E169A"/>
    <w:rsid w:val="002508FB"/>
    <w:rsid w:val="002B57BC"/>
    <w:rsid w:val="00307D69"/>
    <w:rsid w:val="00312E41"/>
    <w:rsid w:val="00323DBF"/>
    <w:rsid w:val="003318BA"/>
    <w:rsid w:val="00331FA5"/>
    <w:rsid w:val="003523BD"/>
    <w:rsid w:val="00357B9A"/>
    <w:rsid w:val="00386616"/>
    <w:rsid w:val="00391B6E"/>
    <w:rsid w:val="003B3996"/>
    <w:rsid w:val="003E03D0"/>
    <w:rsid w:val="003E6A38"/>
    <w:rsid w:val="00426F3A"/>
    <w:rsid w:val="00445640"/>
    <w:rsid w:val="0045116A"/>
    <w:rsid w:val="00452B1F"/>
    <w:rsid w:val="00471308"/>
    <w:rsid w:val="0047780D"/>
    <w:rsid w:val="004829C7"/>
    <w:rsid w:val="00483C41"/>
    <w:rsid w:val="0048527F"/>
    <w:rsid w:val="004961E2"/>
    <w:rsid w:val="00497E57"/>
    <w:rsid w:val="004B1C69"/>
    <w:rsid w:val="004C4D1E"/>
    <w:rsid w:val="004C559F"/>
    <w:rsid w:val="004D1441"/>
    <w:rsid w:val="004F1957"/>
    <w:rsid w:val="004F1C9F"/>
    <w:rsid w:val="005060B9"/>
    <w:rsid w:val="005168A7"/>
    <w:rsid w:val="0053090A"/>
    <w:rsid w:val="00546010"/>
    <w:rsid w:val="005541D6"/>
    <w:rsid w:val="00584756"/>
    <w:rsid w:val="005B1403"/>
    <w:rsid w:val="005D609A"/>
    <w:rsid w:val="005F142D"/>
    <w:rsid w:val="00620CA1"/>
    <w:rsid w:val="0067061B"/>
    <w:rsid w:val="00677C05"/>
    <w:rsid w:val="006801D4"/>
    <w:rsid w:val="00690DB2"/>
    <w:rsid w:val="006A368D"/>
    <w:rsid w:val="006F178E"/>
    <w:rsid w:val="006F1951"/>
    <w:rsid w:val="006F3950"/>
    <w:rsid w:val="006F72DA"/>
    <w:rsid w:val="00720EBD"/>
    <w:rsid w:val="00721052"/>
    <w:rsid w:val="00722EC8"/>
    <w:rsid w:val="00723456"/>
    <w:rsid w:val="0072497E"/>
    <w:rsid w:val="00744DC4"/>
    <w:rsid w:val="00746F2A"/>
    <w:rsid w:val="007514C0"/>
    <w:rsid w:val="0075284E"/>
    <w:rsid w:val="00764829"/>
    <w:rsid w:val="0076710B"/>
    <w:rsid w:val="00781029"/>
    <w:rsid w:val="0078339B"/>
    <w:rsid w:val="007A1E14"/>
    <w:rsid w:val="007D1F35"/>
    <w:rsid w:val="007D2FD9"/>
    <w:rsid w:val="007D4256"/>
    <w:rsid w:val="007E6740"/>
    <w:rsid w:val="008013F5"/>
    <w:rsid w:val="00805638"/>
    <w:rsid w:val="00833F98"/>
    <w:rsid w:val="0084333F"/>
    <w:rsid w:val="00844128"/>
    <w:rsid w:val="00864ADB"/>
    <w:rsid w:val="00881130"/>
    <w:rsid w:val="008823CC"/>
    <w:rsid w:val="00897182"/>
    <w:rsid w:val="008D4C16"/>
    <w:rsid w:val="008E48DD"/>
    <w:rsid w:val="008F04CF"/>
    <w:rsid w:val="00902296"/>
    <w:rsid w:val="00910AF0"/>
    <w:rsid w:val="00914698"/>
    <w:rsid w:val="00916E09"/>
    <w:rsid w:val="00916EEF"/>
    <w:rsid w:val="009262C7"/>
    <w:rsid w:val="009342F4"/>
    <w:rsid w:val="0094333B"/>
    <w:rsid w:val="00960886"/>
    <w:rsid w:val="00965D1F"/>
    <w:rsid w:val="00972F73"/>
    <w:rsid w:val="00974488"/>
    <w:rsid w:val="009A2793"/>
    <w:rsid w:val="009B3A7A"/>
    <w:rsid w:val="009B73E6"/>
    <w:rsid w:val="009C3018"/>
    <w:rsid w:val="009D49B1"/>
    <w:rsid w:val="009E3D4D"/>
    <w:rsid w:val="00A02C2C"/>
    <w:rsid w:val="00A064A8"/>
    <w:rsid w:val="00A10511"/>
    <w:rsid w:val="00A25AA6"/>
    <w:rsid w:val="00A70851"/>
    <w:rsid w:val="00A723AA"/>
    <w:rsid w:val="00A73D2A"/>
    <w:rsid w:val="00AA6FCA"/>
    <w:rsid w:val="00AB443D"/>
    <w:rsid w:val="00AC6332"/>
    <w:rsid w:val="00AE0D96"/>
    <w:rsid w:val="00AE7A8E"/>
    <w:rsid w:val="00AF178B"/>
    <w:rsid w:val="00B17806"/>
    <w:rsid w:val="00B434D2"/>
    <w:rsid w:val="00B445D5"/>
    <w:rsid w:val="00B53916"/>
    <w:rsid w:val="00B62357"/>
    <w:rsid w:val="00B72F4E"/>
    <w:rsid w:val="00B77F32"/>
    <w:rsid w:val="00B827F5"/>
    <w:rsid w:val="00B8609B"/>
    <w:rsid w:val="00B94AE5"/>
    <w:rsid w:val="00BA106B"/>
    <w:rsid w:val="00BA11C8"/>
    <w:rsid w:val="00BA362C"/>
    <w:rsid w:val="00BB5BAD"/>
    <w:rsid w:val="00BD299E"/>
    <w:rsid w:val="00BD301B"/>
    <w:rsid w:val="00BE69DD"/>
    <w:rsid w:val="00C013BE"/>
    <w:rsid w:val="00C13507"/>
    <w:rsid w:val="00C1602A"/>
    <w:rsid w:val="00C22F19"/>
    <w:rsid w:val="00C34BD6"/>
    <w:rsid w:val="00C376E6"/>
    <w:rsid w:val="00C91C6A"/>
    <w:rsid w:val="00C95048"/>
    <w:rsid w:val="00C9530E"/>
    <w:rsid w:val="00CA0E21"/>
    <w:rsid w:val="00CB118F"/>
    <w:rsid w:val="00CB3244"/>
    <w:rsid w:val="00CB7826"/>
    <w:rsid w:val="00CC1032"/>
    <w:rsid w:val="00CC180A"/>
    <w:rsid w:val="00CC6297"/>
    <w:rsid w:val="00CD65D4"/>
    <w:rsid w:val="00CF2A34"/>
    <w:rsid w:val="00CF6070"/>
    <w:rsid w:val="00D07382"/>
    <w:rsid w:val="00D20929"/>
    <w:rsid w:val="00D376FC"/>
    <w:rsid w:val="00D40A0B"/>
    <w:rsid w:val="00D43E3B"/>
    <w:rsid w:val="00D47DC2"/>
    <w:rsid w:val="00D61901"/>
    <w:rsid w:val="00D76484"/>
    <w:rsid w:val="00D8112A"/>
    <w:rsid w:val="00D82E5E"/>
    <w:rsid w:val="00D84EE0"/>
    <w:rsid w:val="00DA3FAA"/>
    <w:rsid w:val="00DB162F"/>
    <w:rsid w:val="00DD1B3F"/>
    <w:rsid w:val="00DD57DB"/>
    <w:rsid w:val="00E50ACC"/>
    <w:rsid w:val="00E61F66"/>
    <w:rsid w:val="00E81952"/>
    <w:rsid w:val="00E90071"/>
    <w:rsid w:val="00E90ED9"/>
    <w:rsid w:val="00E9168A"/>
    <w:rsid w:val="00EA1272"/>
    <w:rsid w:val="00ED199F"/>
    <w:rsid w:val="00EE0640"/>
    <w:rsid w:val="00EE5D07"/>
    <w:rsid w:val="00F002FF"/>
    <w:rsid w:val="00F17A7C"/>
    <w:rsid w:val="00F355F3"/>
    <w:rsid w:val="00F4110F"/>
    <w:rsid w:val="00F42B13"/>
    <w:rsid w:val="00F62FE8"/>
    <w:rsid w:val="00F632E9"/>
    <w:rsid w:val="00F67AC0"/>
    <w:rsid w:val="00F717B3"/>
    <w:rsid w:val="00F86F52"/>
    <w:rsid w:val="00F93C3F"/>
    <w:rsid w:val="00FA1785"/>
    <w:rsid w:val="00FA760D"/>
    <w:rsid w:val="00FB02A8"/>
    <w:rsid w:val="00FC0DC0"/>
    <w:rsid w:val="00FD4736"/>
    <w:rsid w:val="00FD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00EBB"/>
  <w15:docId w15:val="{7E7417E6-A75A-498C-9480-712B6F88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98"/>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ti">
    <w:name w:val="Yeti"/>
    <w:basedOn w:val="Normal"/>
    <w:link w:val="YetiChar"/>
    <w:qFormat/>
    <w:rsid w:val="00E9168A"/>
    <w:pPr>
      <w:spacing w:before="0"/>
      <w:jc w:val="left"/>
    </w:pPr>
    <w:rPr>
      <w:rFonts w:ascii="Georgia" w:eastAsia="Times New Roman" w:hAnsi="Georgia" w:cs="Times New Roman"/>
      <w:sz w:val="24"/>
      <w:szCs w:val="24"/>
      <w:lang w:val="id-ID" w:eastAsia="en-GB"/>
    </w:rPr>
  </w:style>
  <w:style w:type="character" w:customStyle="1" w:styleId="YetiChar">
    <w:name w:val="Yeti Char"/>
    <w:basedOn w:val="DefaultParagraphFont"/>
    <w:link w:val="Yeti"/>
    <w:rsid w:val="00E9168A"/>
    <w:rPr>
      <w:rFonts w:ascii="Georgia" w:eastAsia="Times New Roman" w:hAnsi="Georgia" w:cs="Times New Roman"/>
      <w:noProof/>
      <w:sz w:val="24"/>
      <w:szCs w:val="24"/>
      <w:lang w:val="id-ID" w:eastAsia="en-GB"/>
    </w:rPr>
  </w:style>
  <w:style w:type="paragraph" w:styleId="ListParagraph">
    <w:name w:val="List Paragraph"/>
    <w:aliases w:val="Heading 1 Char1,1.2 Dst...,UGEX'Z,sub de titre 4,ANNEX,List Paragraph1,SUB BAB2,TABEL,kepala,Colorful List - Accent 11"/>
    <w:basedOn w:val="Normal"/>
    <w:link w:val="ListParagraphChar"/>
    <w:uiPriority w:val="34"/>
    <w:qFormat/>
    <w:rsid w:val="00DB162F"/>
    <w:pPr>
      <w:ind w:left="720"/>
      <w:contextualSpacing/>
    </w:pPr>
  </w:style>
  <w:style w:type="paragraph" w:styleId="BalloonText">
    <w:name w:val="Balloon Text"/>
    <w:basedOn w:val="Normal"/>
    <w:link w:val="BalloonTextChar"/>
    <w:uiPriority w:val="99"/>
    <w:semiHidden/>
    <w:unhideWhenUsed/>
    <w:rsid w:val="00131C4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42"/>
    <w:rPr>
      <w:rFonts w:ascii="Tahoma" w:hAnsi="Tahoma" w:cs="Tahoma"/>
      <w:noProof/>
      <w:sz w:val="16"/>
      <w:szCs w:val="16"/>
      <w:lang w:val="en-ID"/>
    </w:rPr>
  </w:style>
  <w:style w:type="character" w:customStyle="1" w:styleId="ListParagraphChar">
    <w:name w:val="List Paragraph Char"/>
    <w:aliases w:val="Heading 1 Char1 Char,1.2 Dst... Char,UGEX'Z Char,sub de titre 4 Char,ANNEX Char,List Paragraph1 Char,SUB BAB2 Char,TABEL Char,kepala Char,Colorful List - Accent 11 Char"/>
    <w:basedOn w:val="DefaultParagraphFont"/>
    <w:link w:val="ListParagraph"/>
    <w:uiPriority w:val="34"/>
    <w:locked/>
    <w:rsid w:val="00F67AC0"/>
    <w:rPr>
      <w:noProof/>
      <w:lang w:val="en-ID"/>
    </w:rPr>
  </w:style>
  <w:style w:type="table" w:customStyle="1" w:styleId="TableGrid1">
    <w:name w:val="Table Grid1"/>
    <w:basedOn w:val="TableNormal"/>
    <w:uiPriority w:val="59"/>
    <w:rsid w:val="00C91C6A"/>
    <w:pPr>
      <w:spacing w:befor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B62357"/>
    <w:pPr>
      <w:spacing w:befor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link w:val="PlainText"/>
    <w:rsid w:val="0045116A"/>
    <w:rPr>
      <w:rFonts w:ascii="Consolas" w:eastAsia="Calibri" w:hAnsi="Consolas" w:cs="Times New Roman"/>
      <w:sz w:val="21"/>
      <w:szCs w:val="21"/>
    </w:rPr>
  </w:style>
  <w:style w:type="paragraph" w:styleId="PlainText">
    <w:name w:val="Plain Text"/>
    <w:basedOn w:val="Normal"/>
    <w:link w:val="PlainTextChar"/>
    <w:rsid w:val="0045116A"/>
    <w:pPr>
      <w:spacing w:before="0"/>
      <w:jc w:val="left"/>
    </w:pPr>
    <w:rPr>
      <w:rFonts w:ascii="Consolas" w:eastAsia="Calibri" w:hAnsi="Consolas" w:cs="Times New Roman"/>
      <w:noProof w:val="0"/>
      <w:sz w:val="21"/>
      <w:szCs w:val="21"/>
      <w:lang w:val="en-US"/>
    </w:rPr>
  </w:style>
  <w:style w:type="character" w:customStyle="1" w:styleId="PlainTextChar1">
    <w:name w:val="Plain Text Char1"/>
    <w:basedOn w:val="DefaultParagraphFont"/>
    <w:uiPriority w:val="99"/>
    <w:semiHidden/>
    <w:rsid w:val="0045116A"/>
    <w:rPr>
      <w:rFonts w:ascii="Consolas" w:hAnsi="Consolas"/>
      <w:noProof/>
      <w:sz w:val="21"/>
      <w:szCs w:val="21"/>
      <w:lang w:val="en-ID"/>
    </w:rPr>
  </w:style>
  <w:style w:type="paragraph" w:customStyle="1" w:styleId="Yeticapital">
    <w:name w:val="Yeticapital"/>
    <w:basedOn w:val="Normal"/>
    <w:link w:val="YeticapitalChar"/>
    <w:qFormat/>
    <w:rsid w:val="00001B39"/>
    <w:pPr>
      <w:spacing w:before="0"/>
      <w:jc w:val="left"/>
    </w:pPr>
    <w:rPr>
      <w:rFonts w:ascii="Georgia" w:eastAsia="Times New Roman" w:hAnsi="Georgia" w:cs="Times New Roman"/>
      <w:b/>
      <w:caps/>
      <w:sz w:val="24"/>
      <w:szCs w:val="24"/>
      <w:lang w:val="id-ID" w:eastAsia="en-GB"/>
    </w:rPr>
  </w:style>
  <w:style w:type="character" w:customStyle="1" w:styleId="YeticapitalChar">
    <w:name w:val="Yeticapital Char"/>
    <w:basedOn w:val="DefaultParagraphFont"/>
    <w:link w:val="Yeticapital"/>
    <w:rsid w:val="00001B39"/>
    <w:rPr>
      <w:rFonts w:ascii="Georgia" w:eastAsia="Times New Roman" w:hAnsi="Georgia" w:cs="Times New Roman"/>
      <w:b/>
      <w:caps/>
      <w:noProof/>
      <w:sz w:val="24"/>
      <w:szCs w:val="24"/>
      <w:lang w:val="id-ID" w:eastAsia="en-GB"/>
    </w:rPr>
  </w:style>
  <w:style w:type="paragraph" w:customStyle="1" w:styleId="Default">
    <w:name w:val="Default"/>
    <w:rsid w:val="00A25AA6"/>
    <w:pPr>
      <w:autoSpaceDE w:val="0"/>
      <w:autoSpaceDN w:val="0"/>
      <w:adjustRightInd w:val="0"/>
      <w:spacing w:before="0"/>
      <w:jc w:val="left"/>
    </w:pPr>
    <w:rPr>
      <w:rFonts w:ascii="Georgia" w:hAnsi="Georgia" w:cs="Georgia"/>
      <w:color w:val="000000"/>
      <w:sz w:val="24"/>
      <w:szCs w:val="24"/>
    </w:rPr>
  </w:style>
  <w:style w:type="character" w:styleId="Hyperlink">
    <w:name w:val="Hyperlink"/>
    <w:basedOn w:val="DefaultParagraphFont"/>
    <w:uiPriority w:val="99"/>
    <w:unhideWhenUsed/>
    <w:rsid w:val="00104B67"/>
    <w:rPr>
      <w:color w:val="0000FF" w:themeColor="hyperlink"/>
      <w:u w:val="single"/>
    </w:rPr>
  </w:style>
  <w:style w:type="character" w:customStyle="1" w:styleId="UnresolvedMention">
    <w:name w:val="Unresolved Mention"/>
    <w:basedOn w:val="DefaultParagraphFont"/>
    <w:uiPriority w:val="99"/>
    <w:semiHidden/>
    <w:unhideWhenUsed/>
    <w:rsid w:val="00104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95109">
      <w:bodyDiv w:val="1"/>
      <w:marLeft w:val="0"/>
      <w:marRight w:val="0"/>
      <w:marTop w:val="0"/>
      <w:marBottom w:val="0"/>
      <w:divBdr>
        <w:top w:val="none" w:sz="0" w:space="0" w:color="auto"/>
        <w:left w:val="none" w:sz="0" w:space="0" w:color="auto"/>
        <w:bottom w:val="none" w:sz="0" w:space="0" w:color="auto"/>
        <w:right w:val="none" w:sz="0" w:space="0" w:color="auto"/>
      </w:divBdr>
    </w:div>
    <w:div w:id="686562325">
      <w:bodyDiv w:val="1"/>
      <w:marLeft w:val="0"/>
      <w:marRight w:val="0"/>
      <w:marTop w:val="0"/>
      <w:marBottom w:val="0"/>
      <w:divBdr>
        <w:top w:val="none" w:sz="0" w:space="0" w:color="auto"/>
        <w:left w:val="none" w:sz="0" w:space="0" w:color="auto"/>
        <w:bottom w:val="none" w:sz="0" w:space="0" w:color="auto"/>
        <w:right w:val="none" w:sz="0" w:space="0" w:color="auto"/>
      </w:divBdr>
    </w:div>
    <w:div w:id="1810905015">
      <w:bodyDiv w:val="1"/>
      <w:marLeft w:val="0"/>
      <w:marRight w:val="0"/>
      <w:marTop w:val="0"/>
      <w:marBottom w:val="0"/>
      <w:divBdr>
        <w:top w:val="none" w:sz="0" w:space="0" w:color="auto"/>
        <w:left w:val="none" w:sz="0" w:space="0" w:color="auto"/>
        <w:bottom w:val="none" w:sz="0" w:space="0" w:color="auto"/>
        <w:right w:val="none" w:sz="0" w:space="0" w:color="auto"/>
      </w:divBdr>
    </w:div>
    <w:div w:id="2061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oelvoc5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4A29C-2FD6-4F22-86E5-6003A21E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13097</Words>
  <Characters>74654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dc:creator>
  <cp:lastModifiedBy>Asus</cp:lastModifiedBy>
  <cp:revision>25</cp:revision>
  <cp:lastPrinted>2019-04-24T03:03:00Z</cp:lastPrinted>
  <dcterms:created xsi:type="dcterms:W3CDTF">2019-04-24T03:03:00Z</dcterms:created>
  <dcterms:modified xsi:type="dcterms:W3CDTF">2021-10-04T06:27:00Z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a9523fa3-6a11-32b1-bb78-3e00e4f3a965</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